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rFonts w:hint="default" w:ascii="Times New Roman" w:hAnsi="Times New Roman" w:eastAsia="Batang" w:cs="Times New Roman"/>
          <w:b/>
          <w:bCs/>
          <w:sz w:val="28"/>
          <w:szCs w:val="24"/>
          <w:lang w:val="en-US" w:eastAsia="en-US"/>
        </w:rPr>
      </w:pPr>
      <w:r>
        <w:rPr>
          <w:rFonts w:hint="default" w:ascii="Times New Roman" w:hAnsi="Times New Roman" w:eastAsia="Batang" w:cs="Times New Roman"/>
          <w:b/>
          <w:bCs/>
          <w:sz w:val="28"/>
          <w:szCs w:val="24"/>
          <w:lang w:eastAsia="en-US"/>
        </w:rPr>
        <w:t>3GPP TSG RAN WG1 #110bis-e</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 xml:space="preserve"> R1-220</w:t>
      </w:r>
      <w:r>
        <w:rPr>
          <w:rFonts w:hint="default" w:ascii="Times New Roman" w:hAnsi="Times New Roman" w:eastAsia="Batang" w:cs="Times New Roman"/>
          <w:b/>
          <w:bCs/>
          <w:sz w:val="28"/>
          <w:szCs w:val="24"/>
          <w:lang w:val="en-US" w:eastAsia="en-US"/>
        </w:rPr>
        <w:t>9356</w:t>
      </w:r>
    </w:p>
    <w:p>
      <w:pPr>
        <w:widowControl w:val="0"/>
        <w:spacing w:after="0"/>
        <w:jc w:val="both"/>
        <w:rPr>
          <w:sz w:val="24"/>
          <w:szCs w:val="24"/>
          <w:lang w:eastAsia="zh-CN"/>
        </w:rPr>
      </w:pPr>
      <w:r>
        <w:rPr>
          <w:rFonts w:hint="default" w:ascii="Times New Roman" w:hAnsi="Times New Roman" w:eastAsia="Batang" w:cs="Times New Roman"/>
          <w:b/>
          <w:bCs/>
          <w:sz w:val="28"/>
          <w:szCs w:val="24"/>
          <w:lang w:eastAsia="en-US"/>
        </w:rPr>
        <w:t>e-Meeting, October 10</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xml:space="preserve"> – 19</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2022</w:t>
      </w:r>
    </w:p>
    <w:p>
      <w:pPr>
        <w:pStyle w:val="125"/>
        <w:spacing w:after="0"/>
        <w:rPr>
          <w:rFonts w:ascii="Times New Roman" w:hAnsi="Times New Roman"/>
          <w:sz w:val="24"/>
          <w:szCs w:val="24"/>
          <w:lang w:val="en-US"/>
        </w:rPr>
      </w:pPr>
      <w:bookmarkStart w:id="0" w:name="OLE_LINK3"/>
      <w:bookmarkStart w:id="1" w:name="OLE_LINK4"/>
    </w:p>
    <w:p>
      <w:pPr>
        <w:pStyle w:val="12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coverage enhancement for NR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9.11</w:t>
      </w:r>
      <w:r>
        <w:rPr>
          <w:rFonts w:ascii="Times New Roman" w:hAnsi="Times New Roman"/>
          <w:sz w:val="24"/>
          <w:szCs w:val="24"/>
          <w:lang w:eastAsia="zh-CN"/>
        </w:rPr>
        <w:t>.</w:t>
      </w:r>
      <w:r>
        <w:rPr>
          <w:rFonts w:hint="default" w:ascii="Times New Roman" w:hAnsi="Times New Roman"/>
          <w:sz w:val="24"/>
          <w:szCs w:val="24"/>
          <w:lang w:val="en-US" w:eastAsia="zh-CN"/>
        </w:rPr>
        <w:t>1</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pageBreakBefore w:val="0"/>
        <w:widowControl/>
        <w:numPr>
          <w:ilvl w:val="0"/>
          <w:numId w:val="10"/>
        </w:numPr>
        <w:pBdr>
          <w:top w:val="single" w:color="auto" w:sz="12" w:space="3"/>
        </w:pBdr>
        <w:kinsoku/>
        <w:wordWrap/>
        <w:overflowPunct/>
        <w:topLinePunct w:val="0"/>
        <w:autoSpaceDE/>
        <w:autoSpaceDN/>
        <w:bidi w:val="0"/>
        <w:adjustRightInd/>
        <w:snapToGrid/>
        <w:spacing w:before="240" w:beforeLines="-2147483648" w:after="180" w:afterLines="-2147483648"/>
        <w:ind w:left="0" w:firstLine="0"/>
        <w:jc w:val="left"/>
        <w:textAlignment w:val="auto"/>
        <w:rPr>
          <w:rFonts w:ascii="Times New Roman" w:hAnsi="Times New Roman" w:eastAsia="宋体" w:cs="Times New Roman"/>
          <w:kern w:val="32"/>
          <w:sz w:val="32"/>
          <w:szCs w:val="32"/>
          <w:lang w:val="en-GB"/>
        </w:rPr>
      </w:pPr>
      <w:bookmarkStart w:id="3" w:name="_Toc120549591"/>
      <w:r>
        <w:rPr>
          <w:rFonts w:ascii="Times New Roman" w:hAnsi="Times New Roman" w:eastAsia="宋体" w:cs="Times New Roman"/>
          <w:kern w:val="32"/>
          <w:sz w:val="32"/>
          <w:szCs w:val="32"/>
          <w:lang w:val="en-GB"/>
        </w:rPr>
        <w:t>Introduction</w:t>
      </w:r>
      <w:bookmarkEnd w:id="3"/>
    </w:p>
    <w:bookmarkEnd w:id="0"/>
    <w:bookmarkEnd w:id="1"/>
    <w:p>
      <w:pPr>
        <w:keepLines w:val="0"/>
        <w:pageBreakBefore w:val="0"/>
        <w:kinsoku/>
        <w:wordWrap/>
        <w:overflowPunct/>
        <w:topLinePunct w:val="0"/>
        <w:autoSpaceDE/>
        <w:autoSpaceDN/>
        <w:bidi w:val="0"/>
        <w:spacing w:before="0" w:beforeLines="50" w:after="0" w:afterLines="50"/>
        <w:textAlignment w:val="auto"/>
        <w:rPr>
          <w:rFonts w:hint="default" w:ascii="Times New Roman" w:hAnsi="Times New Roman" w:cs="Times New Roman"/>
          <w:sz w:val="20"/>
          <w:szCs w:val="20"/>
          <w:lang w:val="en-US"/>
        </w:rPr>
      </w:pPr>
      <w:bookmarkStart w:id="4" w:name="_Hlk521259925"/>
      <w:r>
        <w:rPr>
          <w:rFonts w:hint="default" w:ascii="Times New Roman" w:hAnsi="Times New Roman" w:cs="Times New Roman"/>
          <w:sz w:val="20"/>
          <w:szCs w:val="20"/>
          <w:lang w:val="en-US"/>
        </w:rPr>
        <w:t>During RAN#94-e and</w:t>
      </w:r>
      <w:r>
        <w:rPr>
          <w:rFonts w:ascii="Times New Roman" w:hAnsi="Times New Roman" w:cs="Times New Roman"/>
          <w:sz w:val="20"/>
          <w:szCs w:val="20"/>
        </w:rPr>
        <w:t xml:space="preserve"> RAN#</w:t>
      </w:r>
      <w:r>
        <w:rPr>
          <w:rFonts w:hint="default" w:ascii="Times New Roman" w:hAnsi="Times New Roman" w:cs="Times New Roman"/>
          <w:sz w:val="20"/>
          <w:szCs w:val="20"/>
          <w:lang w:val="en-US"/>
        </w:rPr>
        <w:t>95</w:t>
      </w:r>
      <w:r>
        <w:rPr>
          <w:rFonts w:ascii="Times New Roman" w:hAnsi="Times New Roman" w:cs="Times New Roman"/>
          <w:sz w:val="20"/>
          <w:szCs w:val="20"/>
        </w:rPr>
        <w:t xml:space="preserve">-e meeting, </w:t>
      </w:r>
      <w:r>
        <w:rPr>
          <w:rFonts w:hint="eastAsia" w:ascii="Times New Roman" w:hAnsi="Times New Roman" w:cs="Times New Roman"/>
          <w:sz w:val="20"/>
          <w:szCs w:val="20"/>
        </w:rPr>
        <w:t xml:space="preserve">a new work item is proposed to define further enhancements for </w:t>
      </w:r>
      <w:r>
        <w:rPr>
          <w:rFonts w:hint="default" w:ascii="Times New Roman" w:hAnsi="Times New Roman" w:cs="Times New Roman"/>
          <w:sz w:val="20"/>
          <w:szCs w:val="20"/>
          <w:lang w:val="en-US"/>
        </w:rPr>
        <w:t>NR NTN, which was revised in RAN#97 meeting according to the RAN1 observation and evaluation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Pr>
          <w:rFonts w:hint="default" w:ascii="Times New Roman" w:hAnsi="Times New Roman" w:cs="Times New Roman"/>
          <w:sz w:val="20"/>
          <w:szCs w:val="20"/>
          <w:lang w:val="en-US"/>
        </w:rPr>
        <w:t xml:space="preserve"> The justification and objectives that the work item focuses on are listed as follows.</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1"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eastAsia="MS Mincho" w:cs="Times New Roman"/>
                <w:b/>
                <w:bCs/>
                <w:kern w:val="0"/>
                <w:sz w:val="20"/>
                <w:szCs w:val="20"/>
                <w:u w:val="none"/>
                <w:lang w:eastAsia="en-US"/>
              </w:rPr>
            </w:pPr>
            <w:r>
              <w:rPr>
                <w:rFonts w:ascii="Times New Roman" w:hAnsi="Times New Roman" w:eastAsia="MS Mincho" w:cs="Times New Roman"/>
                <w:b/>
                <w:bCs/>
                <w:kern w:val="0"/>
                <w:sz w:val="20"/>
                <w:szCs w:val="20"/>
                <w:u w:val="none"/>
                <w:lang w:eastAsia="en-US"/>
              </w:rPr>
              <w:t>Justification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In Release 17, a work item was carried out to define solutions enabling New Radio and NG-RAN to support Non-Terrestrial Networks (NTN):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Transparent payload based GSO and NGSO network scenarios addressing at least 3GPP power class 3 UE with GNSS capability in both Earth fixed and/or moving cell configurations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As part of Release 18, a new work item is proposed to define enhancements for NG-RAN based Non-Terrestrial Networks in order to:</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Support new scenarios to cover deployments in frequency bands above 10 GHz</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Provide mobility and service continuity enhancements considering the NTN characteristics such as large propagation delay and satellite movement.</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pPr>
              <w:rPr>
                <w:rFonts w:hint="default" w:ascii="Times New Roman" w:hAnsi="Times New Roman" w:eastAsia="MS Mincho" w:cs="Times New Roman"/>
                <w:b w:val="0"/>
                <w:bCs w:val="0"/>
                <w:kern w:val="0"/>
                <w:sz w:val="20"/>
                <w:szCs w:val="20"/>
                <w:u w:val="none"/>
                <w:lang w:eastAsia="en-US"/>
              </w:rPr>
            </w:pPr>
            <w:r>
              <w:rPr>
                <w:rFonts w:ascii="Times New Roman" w:hAnsi="Times New Roman" w:eastAsia="MS Mincho" w:cs="Times New Roman"/>
                <w:b/>
                <w:bCs/>
                <w:kern w:val="0"/>
                <w:sz w:val="20"/>
                <w:szCs w:val="20"/>
                <w:u w:val="none"/>
                <w:lang w:eastAsia="en-US"/>
              </w:rPr>
              <w:t>Objective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work item aims at specifying enhancements for NG-RAN based NTN (non-terrestrial networks) according to the following assumptions with implicit compatibility to support HAPS (high altitude platform station) and ATG (air to ground) scenarios: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GSO and NGSO (LEO and MEO) with transparent payload.</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Earth fixed tracking area. Earth fixed &amp; Earth moving cells for NGSO</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FDD mode</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UEs with GNSS capabilities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Both “VSAT” devices with directive antenna (including fixed and moving platform mounted devices and commercial handset terminals (e.g. Power class 3) are supported in FR1</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Only “VSAT” devices with directive antenna (including fixed and moving platform mounted devices) are supported in above 10 GHz bands.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Note 1: In Rel-17 WID, “VSAT” device with external antenna on moving platform is equivalent to a device that operate on platforms in motion, and this is referred to as ESIM (Earth Station In Motion).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Note 2: The Rel-17 NTN architecture is assumed.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 xml:space="preserve">The first objective is to study the coverage enhancement to NTN, including: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following sentence will be revisited in RAN#99 as part of the DL enhancements discussion: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evaluation should also take into account any related regulatory requirements, e.g., ITU limitation of power flux density.” No work on this topic will take place in RAN WGs before the discussion on DL enhancements in RAN#99.</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Note: It is understood that the enhancements defined for LEO can also apply to GEO and MEO scenarios as appropriate. No additional work is expected for MEO/GEO.</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targeted services are VoIP using AMR 4.75 kbps and data transmission services with Low data rate of 3 kbps.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detailed objectives are for NTN: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To specify PUCCH enhancements for Msg4 HARQ-ACK (e.g. repetition) [RAN1, RAN4]</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To study DMRS bundling for PUSCH taking into account NTN-specifics (e.g. time-frequency pre-compensation) and, if necessary, specify enhancements to the Rel-17 procedures [RAN1]</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Have a 1-TU 6-month study phase focusing on the following (to derive clear &amp; limited scope):</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pPr>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ind w:left="1140" w:leftChars="3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lang w:val="en-US" w:eastAsia="en-US"/>
              </w:rPr>
              <w:t xml:space="preserve">VoIP </w:t>
            </w:r>
            <w:r>
              <w:rPr>
                <w:rFonts w:hint="default" w:ascii="Times New Roman" w:hAnsi="Times New Roman" w:eastAsia="MS Mincho" w:cs="Times New Roman"/>
                <w:b w:val="0"/>
                <w:bCs w:val="0"/>
                <w:kern w:val="0"/>
                <w:sz w:val="20"/>
                <w:szCs w:val="20"/>
                <w:u w:val="none"/>
                <w:lang w:eastAsia="en-US"/>
              </w:rPr>
              <w:t>and low-data rate services for commercial handset terminals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following items are shown as examples of areas to consider in the RAN2 study.</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Improved performance of low-rate codecs in link budget limited situation including reducing RAN protocol overhead for VoNR</w:t>
            </w:r>
          </w:p>
          <w:p>
            <w:pPr>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ind w:left="1140" w:leftChars="3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lang w:val="en-US" w:eastAsia="en-US"/>
              </w:rPr>
              <w:t>NOTE</w:t>
            </w:r>
            <w:r>
              <w:rPr>
                <w:rFonts w:hint="default" w:ascii="Times New Roman" w:hAnsi="Times New Roman" w:eastAsia="MS Mincho" w:cs="Times New Roman"/>
                <w:b w:val="0"/>
                <w:bCs w:val="0"/>
                <w:kern w:val="0"/>
                <w:sz w:val="20"/>
                <w:szCs w:val="20"/>
                <w:u w:val="none"/>
                <w:lang w:eastAsia="en-US"/>
              </w:rPr>
              <w:t>: Intent is not to introduce a new codec.</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RAN to determine by RAN#97 (for RAN1 items) and RAN#98 (for RAN2 items) whether the study phase has identified any need for NTN-specific coverage enhancements in Rel-18. If needed, the set of NTN-specific work item objectives will be further updated.</w:t>
            </w:r>
          </w:p>
        </w:tc>
      </w:tr>
    </w:tbl>
    <w:p>
      <w:pPr>
        <w:keepLines w:val="0"/>
        <w:pageBreakBefore w:val="0"/>
        <w:kinsoku/>
        <w:wordWrap/>
        <w:overflowPunct/>
        <w:topLinePunct w:val="0"/>
        <w:autoSpaceDE/>
        <w:autoSpaceDN/>
        <w:bidi w:val="0"/>
        <w:spacing w:before="0" w:beforeLines="50" w:after="0" w:afterLines="5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 xml:space="preserve">In this contribution, we will </w:t>
      </w:r>
      <w:r>
        <w:rPr>
          <w:rFonts w:hint="default" w:ascii="Times New Roman" w:hAnsi="Times New Roman" w:cs="Times New Roman"/>
          <w:bCs/>
          <w:iCs/>
          <w:sz w:val="20"/>
          <w:szCs w:val="20"/>
          <w:lang w:val="en-US"/>
        </w:rPr>
        <w:t xml:space="preserve">study and </w:t>
      </w:r>
      <w:r>
        <w:rPr>
          <w:rFonts w:hint="eastAsia" w:ascii="Times New Roman" w:hAnsi="Times New Roman" w:cs="Times New Roman"/>
          <w:bCs/>
          <w:iCs/>
          <w:sz w:val="20"/>
          <w:szCs w:val="20"/>
        </w:rPr>
        <w:t xml:space="preserve">share our views on coverage enhancement </w:t>
      </w:r>
      <w:r>
        <w:rPr>
          <w:rFonts w:hint="default" w:ascii="Times New Roman" w:hAnsi="Times New Roman" w:cs="Times New Roman"/>
          <w:bCs/>
          <w:iCs/>
          <w:sz w:val="20"/>
          <w:szCs w:val="20"/>
          <w:lang w:val="en-US"/>
        </w:rPr>
        <w:t>schemes for</w:t>
      </w:r>
      <w:r>
        <w:rPr>
          <w:rFonts w:hint="eastAsia" w:ascii="Times New Roman" w:hAnsi="Times New Roman" w:cs="Times New Roman"/>
          <w:bCs/>
          <w:iCs/>
          <w:sz w:val="20"/>
          <w:szCs w:val="20"/>
        </w:rPr>
        <w:t xml:space="preserve"> NTN scenarios</w:t>
      </w:r>
      <w:r>
        <w:rPr>
          <w:rFonts w:hint="default" w:ascii="Times New Roman" w:hAnsi="Times New Roman" w:cs="Times New Roman"/>
          <w:bCs/>
          <w:iCs/>
          <w:sz w:val="20"/>
          <w:szCs w:val="20"/>
          <w:lang w:val="en-US"/>
        </w:rPr>
        <w:t>, including PUCCH enhancements for Msg4 HARQ-ACK and consideration of DMRS bundling in NTN</w:t>
      </w:r>
      <w:r>
        <w:rPr>
          <w:rFonts w:hint="eastAsia" w:ascii="Times New Roman" w:hAnsi="Times New Roman" w:cs="Times New Roman"/>
          <w:bCs/>
          <w:iCs/>
          <w:sz w:val="20"/>
          <w:szCs w:val="20"/>
        </w:rPr>
        <w:t>.</w:t>
      </w:r>
    </w:p>
    <w:p>
      <w:pPr>
        <w:pStyle w:val="2"/>
        <w:keepNext/>
        <w:keepLines/>
        <w:pageBreakBefore w:val="0"/>
        <w:widowControl/>
        <w:numPr>
          <w:ilvl w:val="0"/>
          <w:numId w:val="10"/>
        </w:numPr>
        <w:pBdr>
          <w:top w:val="single" w:color="auto" w:sz="12" w:space="3"/>
        </w:pBdr>
        <w:kinsoku/>
        <w:wordWrap/>
        <w:overflowPunct/>
        <w:topLinePunct w:val="0"/>
        <w:autoSpaceDE/>
        <w:autoSpaceDN/>
        <w:bidi w:val="0"/>
        <w:adjustRightInd/>
        <w:snapToGrid/>
        <w:spacing w:before="240" w:beforeLines="-2147483648" w:after="180" w:afterLines="-2147483648"/>
        <w:ind w:left="0" w:firstLine="0"/>
        <w:jc w:val="both"/>
        <w:textAlignment w:val="auto"/>
        <w:rPr>
          <w:rFonts w:ascii="Times New Roman" w:hAnsi="Times New Roman" w:cs="Times New Roman" w:eastAsiaTheme="minorEastAsia"/>
          <w:kern w:val="32"/>
          <w:sz w:val="32"/>
          <w:szCs w:val="32"/>
          <w:lang w:val="en-GB" w:eastAsia="zh-CN"/>
        </w:rPr>
      </w:pPr>
      <w:r>
        <w:rPr>
          <w:rFonts w:hint="eastAsia" w:ascii="Times New Roman" w:hAnsi="Times New Roman" w:cs="Times New Roman" w:eastAsiaTheme="minorEastAsia"/>
          <w:kern w:val="32"/>
          <w:sz w:val="32"/>
          <w:szCs w:val="32"/>
          <w:lang w:val="en-GB" w:eastAsia="zh-CN"/>
        </w:rPr>
        <w:t>D</w:t>
      </w:r>
      <w:r>
        <w:rPr>
          <w:rFonts w:ascii="Times New Roman" w:hAnsi="Times New Roman" w:cs="Times New Roman" w:eastAsiaTheme="minorEastAsia"/>
          <w:kern w:val="32"/>
          <w:sz w:val="32"/>
          <w:szCs w:val="32"/>
          <w:lang w:val="en-GB"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4"/>
          <w:szCs w:val="32"/>
          <w:lang w:val="en-US"/>
        </w:rPr>
      </w:pPr>
      <w:r>
        <w:rPr>
          <w:rFonts w:hint="default"/>
          <w:b/>
          <w:bCs/>
          <w:sz w:val="24"/>
          <w:szCs w:val="32"/>
          <w:lang w:val="en-US"/>
        </w:rPr>
        <w:t xml:space="preserve">2.1 </w:t>
      </w:r>
      <w:r>
        <w:rPr>
          <w:rFonts w:hint="eastAsia"/>
          <w:b/>
          <w:bCs/>
          <w:sz w:val="24"/>
          <w:szCs w:val="32"/>
        </w:rPr>
        <w:t>PUCCH enhancement for Msg4 HARQ-ACK</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val="0"/>
          <w:bCs w:val="0"/>
          <w:sz w:val="20"/>
          <w:szCs w:val="20"/>
          <w:lang w:val="en-US"/>
        </w:rPr>
      </w:pPr>
      <w:r>
        <w:rPr>
          <w:rFonts w:hint="default" w:ascii="Times New Roman" w:hAnsi="Times New Roman" w:cs="Times New Roman"/>
          <w:bCs/>
          <w:iCs/>
          <w:sz w:val="20"/>
          <w:szCs w:val="20"/>
          <w:lang w:val="en-US"/>
        </w:rPr>
        <w:t>According to the previous evaluation result, i</w:t>
      </w:r>
      <w:r>
        <w:rPr>
          <w:rFonts w:ascii="Times New Roman" w:hAnsi="Times New Roman" w:cs="Times New Roman"/>
          <w:bCs/>
          <w:iCs/>
          <w:sz w:val="20"/>
          <w:szCs w:val="20"/>
        </w:rPr>
        <w:t>t can be observed that</w:t>
      </w:r>
      <w:r>
        <w:rPr>
          <w:rFonts w:hint="default" w:ascii="Times New Roman" w:hAnsi="Times New Roman" w:cs="Times New Roman"/>
          <w:bCs/>
          <w:iCs/>
          <w:sz w:val="20"/>
          <w:szCs w:val="20"/>
          <w:lang w:val="en-US"/>
        </w:rPr>
        <w:t xml:space="preserve"> with parameter set-1 for LEO-1200 satellite operating at LOS, enhancement schemes need to be further studied for PUCCH for Msg4 HARQ-ACK to meet the service data rate requirement. The corresponding conclusion of PUCCH Msg4 HARQ-ACK in NTN scenario is shown as below [2].</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9" w:type="dxa"/>
          </w:tcPr>
          <w:p>
            <w:pPr>
              <w:keepNext w:val="0"/>
              <w:keepLines w:val="0"/>
              <w:pageBreakBefore w:val="0"/>
              <w:kinsoku/>
              <w:wordWrap/>
              <w:overflowPunct/>
              <w:topLinePunct w:val="0"/>
              <w:autoSpaceDE/>
              <w:autoSpaceDN/>
              <w:bidi w:val="0"/>
              <w:adjustRightInd/>
              <w:spacing w:before="120" w:after="120"/>
              <w:textAlignment w:val="auto"/>
              <w:rPr>
                <w:rFonts w:hint="default" w:ascii="Times New Roman" w:hAnsi="Times New Roman" w:cs="Times New Roman"/>
                <w:b/>
                <w:bCs w:val="0"/>
                <w:sz w:val="20"/>
                <w:szCs w:val="20"/>
                <w:u w:val="single"/>
                <w:lang w:eastAsia="zh-CN"/>
              </w:rPr>
            </w:pPr>
            <w:r>
              <w:rPr>
                <w:rFonts w:hint="default" w:ascii="Times New Roman" w:hAnsi="Times New Roman" w:cs="Times New Roman"/>
                <w:b/>
                <w:bCs w:val="0"/>
                <w:sz w:val="20"/>
                <w:szCs w:val="20"/>
                <w:u w:val="single"/>
                <w:lang w:eastAsia="zh-CN"/>
              </w:rPr>
              <w:t>Observation</w:t>
            </w:r>
          </w:p>
          <w:p>
            <w:pPr>
              <w:keepNext w:val="0"/>
              <w:keepLines w:val="0"/>
              <w:pageBreakBefore w:val="0"/>
              <w:kinsoku/>
              <w:wordWrap/>
              <w:overflowPunct/>
              <w:topLinePunct w:val="0"/>
              <w:autoSpaceDE/>
              <w:autoSpaceDN/>
              <w:bidi w:val="0"/>
              <w:adjustRightInd/>
              <w:snapToGrid w:val="0"/>
              <w:spacing w:before="120" w:after="1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PUCCH for Msg4 HARQ-ACK with </w:t>
            </w:r>
            <w:r>
              <w:rPr>
                <w:rFonts w:hint="default" w:ascii="Times New Roman" w:hAnsi="Times New Roman" w:eastAsia="Yu Gothic" w:cs="Times New Roman"/>
                <w:sz w:val="20"/>
                <w:szCs w:val="20"/>
              </w:rPr>
              <w:t>parameter set-1 for LEO-1200 operating at LOS</w:t>
            </w:r>
            <w:r>
              <w:rPr>
                <w:rFonts w:hint="default" w:ascii="Times New Roman" w:hAnsi="Times New Roman" w:cs="Times New Roman"/>
                <w:sz w:val="20"/>
                <w:szCs w:val="20"/>
                <w:lang w:val="en-US"/>
              </w:rPr>
              <w:t>,</w:t>
            </w:r>
          </w:p>
          <w:p>
            <w:pPr>
              <w:keepNext w:val="0"/>
              <w:keepLines w:val="0"/>
              <w:pageBreakBefore w:val="0"/>
              <w:widowControl/>
              <w:numPr>
                <w:ilvl w:val="0"/>
                <w:numId w:val="11"/>
              </w:numPr>
              <w:kinsoku/>
              <w:wordWrap/>
              <w:overflowPunct/>
              <w:topLinePunct w:val="0"/>
              <w:autoSpaceDE/>
              <w:autoSpaceDN/>
              <w:bidi w:val="0"/>
              <w:adjustRightInd/>
              <w:snapToGrid/>
              <w:spacing w:before="120" w:after="120"/>
              <w:ind w:left="660" w:leftChars="100" w:hanging="420" w:firstLineChars="0"/>
              <w:jc w:val="both"/>
              <w:textAlignment w:val="auto"/>
              <w:rPr>
                <w:rFonts w:hint="default" w:ascii="Times New Roman" w:hAnsi="Times New Roman" w:eastAsia="MS Mincho" w:cs="Times New Roman"/>
                <w:b w:val="0"/>
                <w:bCs w:val="0"/>
                <w:kern w:val="0"/>
                <w:sz w:val="20"/>
                <w:szCs w:val="20"/>
                <w:u w:val="none"/>
                <w:lang w:val="en-US" w:eastAsia="en-US"/>
              </w:rPr>
            </w:pPr>
            <w:r>
              <w:rPr>
                <w:rFonts w:hint="default" w:ascii="Times New Roman" w:hAnsi="Times New Roman" w:eastAsia="MS Mincho" w:cs="Times New Roman"/>
                <w:b w:val="0"/>
                <w:bCs w:val="0"/>
                <w:kern w:val="0"/>
                <w:sz w:val="20"/>
                <w:szCs w:val="20"/>
                <w:u w:val="none"/>
                <w:lang w:val="en-US" w:eastAsia="en-US"/>
              </w:rPr>
              <w:t>One source observed that the existing specification can meet the performance requirement.</w:t>
            </w:r>
          </w:p>
          <w:p>
            <w:pPr>
              <w:keepNext w:val="0"/>
              <w:keepLines w:val="0"/>
              <w:pageBreakBefore w:val="0"/>
              <w:widowControl/>
              <w:numPr>
                <w:ilvl w:val="0"/>
                <w:numId w:val="11"/>
              </w:numPr>
              <w:kinsoku/>
              <w:wordWrap/>
              <w:overflowPunct/>
              <w:topLinePunct w:val="0"/>
              <w:autoSpaceDE/>
              <w:autoSpaceDN/>
              <w:bidi w:val="0"/>
              <w:adjustRightInd/>
              <w:snapToGrid/>
              <w:spacing w:before="120" w:after="120"/>
              <w:ind w:left="660" w:leftChars="100" w:hanging="420" w:firstLineChars="0"/>
              <w:jc w:val="both"/>
              <w:textAlignment w:val="auto"/>
              <w:rPr>
                <w:rFonts w:hint="default" w:ascii="Times New Roman" w:hAnsi="Times New Roman" w:eastAsia="MS Mincho" w:cs="Times New Roman"/>
                <w:b w:val="0"/>
                <w:bCs w:val="0"/>
                <w:kern w:val="0"/>
                <w:sz w:val="20"/>
                <w:szCs w:val="20"/>
                <w:u w:val="none"/>
                <w:lang w:val="en-US" w:eastAsia="en-US"/>
              </w:rPr>
            </w:pPr>
            <w:r>
              <w:rPr>
                <w:rFonts w:hint="default" w:ascii="Times New Roman" w:hAnsi="Times New Roman" w:eastAsia="MS Mincho" w:cs="Times New Roman"/>
                <w:b w:val="0"/>
                <w:bCs w:val="0"/>
                <w:kern w:val="0"/>
                <w:sz w:val="20"/>
                <w:szCs w:val="20"/>
                <w:u w:val="none"/>
                <w:lang w:val="en-US" w:eastAsia="en-US"/>
              </w:rPr>
              <w:t>Three sources observed that the existing specification cannot meet the performance requirement with a gap of 1.8 to 6 dB.</w:t>
            </w:r>
          </w:p>
          <w:p>
            <w:pPr>
              <w:keepNext w:val="0"/>
              <w:keepLines w:val="0"/>
              <w:pageBreakBefore w:val="0"/>
              <w:kinsoku/>
              <w:wordWrap/>
              <w:overflowPunct/>
              <w:topLinePunct w:val="0"/>
              <w:autoSpaceDE/>
              <w:autoSpaceDN/>
              <w:bidi w:val="0"/>
              <w:adjustRightInd/>
              <w:spacing w:before="120" w:after="120"/>
              <w:textAlignment w:val="auto"/>
              <w:rPr>
                <w:rFonts w:hint="default" w:ascii="Times New Roman" w:hAnsi="Times New Roman" w:cs="Times New Roman"/>
                <w:b/>
                <w:bCs w:val="0"/>
                <w:sz w:val="20"/>
                <w:szCs w:val="20"/>
                <w:u w:val="single"/>
                <w:lang w:val="en-US"/>
              </w:rPr>
            </w:pPr>
            <w:r>
              <w:rPr>
                <w:rFonts w:hint="default" w:ascii="Times New Roman" w:hAnsi="Times New Roman" w:cs="Times New Roman"/>
                <w:b/>
                <w:bCs w:val="0"/>
                <w:sz w:val="20"/>
                <w:szCs w:val="20"/>
                <w:u w:val="single"/>
                <w:lang w:val="en-US"/>
              </w:rPr>
              <w:t>Conclusion</w:t>
            </w:r>
          </w:p>
          <w:p>
            <w:pPr>
              <w:keepNext w:val="0"/>
              <w:keepLines w:val="0"/>
              <w:pageBreakBefore w:val="0"/>
              <w:kinsoku/>
              <w:wordWrap/>
              <w:overflowPunct/>
              <w:topLinePunct w:val="0"/>
              <w:autoSpaceDE/>
              <w:autoSpaceDN/>
              <w:bidi w:val="0"/>
              <w:adjustRightInd/>
              <w:spacing w:before="120" w:after="12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val="en-US"/>
              </w:rPr>
              <w:t xml:space="preserve">RAN1 concluded that PUCCH for Msg4 HARQ-ACK should be enhanced to meet the coverage requirements for </w:t>
            </w:r>
            <w:r>
              <w:rPr>
                <w:rFonts w:hint="default" w:ascii="Times New Roman" w:hAnsi="Times New Roman" w:eastAsia="Yu Gothic" w:cs="Times New Roman"/>
                <w:sz w:val="20"/>
                <w:szCs w:val="20"/>
              </w:rPr>
              <w:t>parameter set-1 for LEO-1200 operating at LOS, assuming -5dBi UE antenna gain</w:t>
            </w:r>
            <w:r>
              <w:rPr>
                <w:rFonts w:hint="default" w:ascii="Times New Roman" w:hAnsi="Times New Roman" w:cs="Times New Roman"/>
                <w:sz w:val="20"/>
                <w:szCs w:val="20"/>
                <w:lang w:val="en-US"/>
              </w:rPr>
              <w:t>.</w:t>
            </w:r>
          </w:p>
        </w:tc>
      </w:tr>
    </w:tbl>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eastAsia" w:ascii="Times New Roman" w:hAnsi="Times New Roman" w:eastAsia="宋体" w:cs="Times New Roman"/>
          <w:b w:val="0"/>
          <w:bCs/>
          <w:kern w:val="0"/>
          <w:sz w:val="20"/>
          <w:szCs w:val="20"/>
          <w:highlight w:val="none"/>
          <w:lang w:val="en-US" w:eastAsia="zh-CN"/>
        </w:rPr>
        <w:t xml:space="preserve">PUCCH repetition is supported in legacy spec. The numbers of PUCCH repetition are configured per PUCCH format, in </w:t>
      </w:r>
      <w:r>
        <w:rPr>
          <w:rFonts w:hint="eastAsia" w:ascii="Times New Roman" w:hAnsi="Times New Roman" w:eastAsia="宋体" w:cs="Times New Roman"/>
          <w:b w:val="0"/>
          <w:bCs/>
          <w:i/>
          <w:iCs/>
          <w:kern w:val="0"/>
          <w:sz w:val="20"/>
          <w:szCs w:val="20"/>
          <w:highlight w:val="none"/>
          <w:lang w:val="en-US" w:eastAsia="zh-CN"/>
        </w:rPr>
        <w:t>BWP-UplinkDedicated-&gt;PUCCH-Config-&gt;PUCCH-FormatConfig-&gt;nrofSlots</w:t>
      </w:r>
      <w:r>
        <w:rPr>
          <w:rFonts w:hint="eastAsia" w:ascii="Times New Roman" w:hAnsi="Times New Roman" w:eastAsia="宋体" w:cs="Times New Roman"/>
          <w:b w:val="0"/>
          <w:bCs/>
          <w:i w:val="0"/>
          <w:iCs w:val="0"/>
          <w:kern w:val="0"/>
          <w:sz w:val="20"/>
          <w:szCs w:val="20"/>
          <w:highlight w:val="none"/>
          <w:lang w:val="en-US" w:eastAsia="zh-CN"/>
        </w:rPr>
        <w:t xml:space="preserve">, and it is only applicable for </w:t>
      </w:r>
      <w:r>
        <w:rPr>
          <w:rFonts w:hint="default" w:ascii="Times New Roman" w:hAnsi="Times New Roman" w:eastAsia="宋体" w:cs="Times New Roman"/>
          <w:b w:val="0"/>
          <w:bCs/>
          <w:i w:val="0"/>
          <w:iCs w:val="0"/>
          <w:kern w:val="0"/>
          <w:sz w:val="20"/>
          <w:szCs w:val="20"/>
          <w:highlight w:val="none"/>
          <w:lang w:val="en-US" w:eastAsia="zh-CN"/>
        </w:rPr>
        <w:t xml:space="preserve">PUCCH </w:t>
      </w:r>
      <w:r>
        <w:rPr>
          <w:rFonts w:hint="eastAsia" w:ascii="Times New Roman" w:hAnsi="Times New Roman" w:eastAsia="宋体" w:cs="Times New Roman"/>
          <w:b w:val="0"/>
          <w:bCs/>
          <w:i w:val="0"/>
          <w:iCs w:val="0"/>
          <w:kern w:val="0"/>
          <w:sz w:val="20"/>
          <w:szCs w:val="20"/>
          <w:highlight w:val="none"/>
          <w:lang w:val="en-US" w:eastAsia="zh-CN"/>
        </w:rPr>
        <w:t xml:space="preserve">format 1, </w:t>
      </w:r>
      <w:r>
        <w:rPr>
          <w:rFonts w:hint="default" w:ascii="Times New Roman" w:hAnsi="Times New Roman" w:eastAsia="宋体" w:cs="Times New Roman"/>
          <w:b w:val="0"/>
          <w:bCs/>
          <w:i w:val="0"/>
          <w:iCs w:val="0"/>
          <w:kern w:val="0"/>
          <w:sz w:val="20"/>
          <w:szCs w:val="20"/>
          <w:highlight w:val="none"/>
          <w:lang w:val="en-US" w:eastAsia="zh-CN"/>
        </w:rPr>
        <w:t xml:space="preserve">format </w:t>
      </w:r>
      <w:r>
        <w:rPr>
          <w:rFonts w:hint="eastAsia" w:ascii="Times New Roman" w:hAnsi="Times New Roman" w:eastAsia="宋体" w:cs="Times New Roman"/>
          <w:b w:val="0"/>
          <w:bCs/>
          <w:i w:val="0"/>
          <w:iCs w:val="0"/>
          <w:kern w:val="0"/>
          <w:sz w:val="20"/>
          <w:szCs w:val="20"/>
          <w:highlight w:val="none"/>
          <w:lang w:val="en-US" w:eastAsia="zh-CN"/>
        </w:rPr>
        <w:t xml:space="preserve">3 and </w:t>
      </w:r>
      <w:r>
        <w:rPr>
          <w:rFonts w:hint="default" w:ascii="Times New Roman" w:hAnsi="Times New Roman" w:eastAsia="宋体" w:cs="Times New Roman"/>
          <w:b w:val="0"/>
          <w:bCs/>
          <w:i w:val="0"/>
          <w:iCs w:val="0"/>
          <w:kern w:val="0"/>
          <w:sz w:val="20"/>
          <w:szCs w:val="20"/>
          <w:highlight w:val="none"/>
          <w:lang w:val="en-US" w:eastAsia="zh-CN"/>
        </w:rPr>
        <w:t xml:space="preserve">format </w:t>
      </w:r>
      <w:r>
        <w:rPr>
          <w:rFonts w:hint="eastAsia" w:ascii="Times New Roman" w:hAnsi="Times New Roman" w:eastAsia="宋体" w:cs="Times New Roman"/>
          <w:b w:val="0"/>
          <w:bCs/>
          <w:i w:val="0"/>
          <w:iCs w:val="0"/>
          <w:kern w:val="0"/>
          <w:sz w:val="20"/>
          <w:szCs w:val="20"/>
          <w:highlight w:val="none"/>
          <w:lang w:val="en-US" w:eastAsia="zh-CN"/>
        </w:rPr>
        <w:t>4</w:t>
      </w:r>
      <w:r>
        <w:rPr>
          <w:rFonts w:hint="eastAsia" w:ascii="Times New Roman" w:hAnsi="Times New Roman" w:eastAsia="宋体" w:cs="Times New Roman"/>
          <w:b w:val="0"/>
          <w:bCs/>
          <w:i/>
          <w:iCs/>
          <w:kern w:val="0"/>
          <w:sz w:val="20"/>
          <w:szCs w:val="20"/>
          <w:highlight w:val="none"/>
          <w:lang w:val="en-US" w:eastAsia="zh-CN"/>
        </w:rPr>
        <w:t xml:space="preserve">. </w:t>
      </w:r>
      <w:r>
        <w:rPr>
          <w:rFonts w:hint="eastAsia" w:ascii="Times New Roman" w:hAnsi="Times New Roman" w:eastAsia="宋体" w:cs="Times New Roman"/>
          <w:b w:val="0"/>
          <w:bCs/>
          <w:i w:val="0"/>
          <w:iCs w:val="0"/>
          <w:kern w:val="0"/>
          <w:sz w:val="20"/>
          <w:szCs w:val="20"/>
          <w:highlight w:val="none"/>
          <w:lang w:val="en-US" w:eastAsia="zh-CN"/>
        </w:rPr>
        <w:t xml:space="preserve">In Rel-17, CE WI </w:t>
      </w:r>
      <w:r>
        <w:rPr>
          <w:rFonts w:hint="default" w:ascii="Times New Roman" w:hAnsi="Times New Roman" w:eastAsia="宋体" w:cs="Times New Roman"/>
          <w:b w:val="0"/>
          <w:bCs/>
          <w:i w:val="0"/>
          <w:iCs w:val="0"/>
          <w:kern w:val="0"/>
          <w:sz w:val="20"/>
          <w:szCs w:val="20"/>
          <w:highlight w:val="none"/>
          <w:lang w:val="en-US" w:eastAsia="zh-CN"/>
        </w:rPr>
        <w:t xml:space="preserve">has </w:t>
      </w:r>
      <w:r>
        <w:rPr>
          <w:rFonts w:hint="eastAsia" w:ascii="Times New Roman" w:hAnsi="Times New Roman" w:eastAsia="宋体" w:cs="Times New Roman"/>
          <w:b w:val="0"/>
          <w:bCs/>
          <w:i w:val="0"/>
          <w:iCs w:val="0"/>
          <w:kern w:val="0"/>
          <w:sz w:val="20"/>
          <w:szCs w:val="20"/>
          <w:highlight w:val="none"/>
          <w:lang w:val="en-US" w:eastAsia="zh-CN"/>
        </w:rPr>
        <w:t>stud</w:t>
      </w:r>
      <w:r>
        <w:rPr>
          <w:rFonts w:hint="default" w:ascii="Times New Roman" w:hAnsi="Times New Roman" w:eastAsia="宋体" w:cs="Times New Roman"/>
          <w:b w:val="0"/>
          <w:bCs/>
          <w:i w:val="0"/>
          <w:iCs w:val="0"/>
          <w:kern w:val="0"/>
          <w:sz w:val="20"/>
          <w:szCs w:val="20"/>
          <w:highlight w:val="none"/>
          <w:lang w:val="en-US" w:eastAsia="zh-CN"/>
        </w:rPr>
        <w:t>ied</w:t>
      </w:r>
      <w:r>
        <w:rPr>
          <w:rFonts w:hint="eastAsia" w:ascii="Times New Roman" w:hAnsi="Times New Roman" w:eastAsia="宋体" w:cs="Times New Roman"/>
          <w:b w:val="0"/>
          <w:bCs/>
          <w:i w:val="0"/>
          <w:iCs w:val="0"/>
          <w:kern w:val="0"/>
          <w:sz w:val="20"/>
          <w:szCs w:val="20"/>
          <w:highlight w:val="none"/>
          <w:lang w:val="en-US" w:eastAsia="zh-CN"/>
        </w:rPr>
        <w:t xml:space="preserve"> and specif</w:t>
      </w:r>
      <w:r>
        <w:rPr>
          <w:rFonts w:hint="default" w:ascii="Times New Roman" w:hAnsi="Times New Roman" w:eastAsia="宋体" w:cs="Times New Roman"/>
          <w:b w:val="0"/>
          <w:bCs/>
          <w:i w:val="0"/>
          <w:iCs w:val="0"/>
          <w:kern w:val="0"/>
          <w:sz w:val="20"/>
          <w:szCs w:val="20"/>
          <w:highlight w:val="none"/>
          <w:lang w:val="en-US" w:eastAsia="zh-CN"/>
        </w:rPr>
        <w:t>ied</w:t>
      </w:r>
      <w:r>
        <w:rPr>
          <w:rFonts w:hint="eastAsia" w:ascii="Times New Roman" w:hAnsi="Times New Roman" w:eastAsia="宋体" w:cs="Times New Roman"/>
          <w:b w:val="0"/>
          <w:bCs/>
          <w:i w:val="0"/>
          <w:iCs w:val="0"/>
          <w:kern w:val="0"/>
          <w:sz w:val="20"/>
          <w:szCs w:val="20"/>
          <w:highlight w:val="none"/>
          <w:lang w:val="en-US" w:eastAsia="zh-CN"/>
        </w:rPr>
        <w:t xml:space="preserve"> dynamic indication for PUCCH repetition, by configuring associated repetition factor with PUCCH resource. This mechanism is based on the RRC signalling, which means it cannot be used before RRC connection. </w:t>
      </w:r>
      <w:r>
        <w:rPr>
          <w:rFonts w:hint="default" w:ascii="Times New Roman" w:hAnsi="Times New Roman" w:eastAsia="宋体" w:cs="Times New Roman"/>
          <w:b w:val="0"/>
          <w:bCs/>
          <w:i w:val="0"/>
          <w:iCs w:val="0"/>
          <w:kern w:val="0"/>
          <w:sz w:val="20"/>
          <w:szCs w:val="20"/>
          <w:highlight w:val="none"/>
          <w:lang w:val="en-US" w:eastAsia="zh-CN"/>
        </w:rPr>
        <w:t xml:space="preserve">While </w:t>
      </w:r>
      <w:r>
        <w:rPr>
          <w:rFonts w:hint="eastAsia" w:ascii="Times New Roman" w:hAnsi="Times New Roman" w:eastAsia="宋体" w:cs="Times New Roman"/>
          <w:b w:val="0"/>
          <w:bCs/>
          <w:i w:val="0"/>
          <w:iCs w:val="0"/>
          <w:kern w:val="0"/>
          <w:sz w:val="20"/>
          <w:szCs w:val="20"/>
          <w:highlight w:val="none"/>
          <w:lang w:val="en-US" w:eastAsia="zh-CN"/>
        </w:rPr>
        <w:t>Msg4 HARQ-ACK use</w:t>
      </w:r>
      <w:r>
        <w:rPr>
          <w:rFonts w:hint="default" w:ascii="Times New Roman" w:hAnsi="Times New Roman" w:eastAsia="宋体" w:cs="Times New Roman"/>
          <w:b w:val="0"/>
          <w:bCs/>
          <w:i w:val="0"/>
          <w:iCs w:val="0"/>
          <w:kern w:val="0"/>
          <w:sz w:val="20"/>
          <w:szCs w:val="20"/>
          <w:highlight w:val="none"/>
          <w:lang w:val="en-US" w:eastAsia="zh-CN"/>
        </w:rPr>
        <w:t>s</w:t>
      </w:r>
      <w:r>
        <w:rPr>
          <w:rFonts w:hint="eastAsia" w:ascii="Times New Roman" w:hAnsi="Times New Roman" w:eastAsia="宋体" w:cs="Times New Roman"/>
          <w:b w:val="0"/>
          <w:bCs/>
          <w:i w:val="0"/>
          <w:iCs w:val="0"/>
          <w:kern w:val="0"/>
          <w:sz w:val="20"/>
          <w:szCs w:val="20"/>
          <w:highlight w:val="none"/>
          <w:lang w:val="en-US" w:eastAsia="zh-CN"/>
        </w:rPr>
        <w:t xml:space="preserve"> PUCCH resource configured in </w:t>
      </w:r>
      <w:r>
        <w:rPr>
          <w:rFonts w:hint="eastAsia" w:ascii="Times New Roman" w:hAnsi="Times New Roman" w:eastAsia="宋体" w:cs="Times New Roman"/>
          <w:b w:val="0"/>
          <w:bCs/>
          <w:i/>
          <w:iCs/>
          <w:kern w:val="0"/>
          <w:sz w:val="20"/>
          <w:szCs w:val="20"/>
          <w:highlight w:val="none"/>
          <w:lang w:val="en-US" w:eastAsia="zh-CN"/>
        </w:rPr>
        <w:t>pucch-ResourceCommon</w:t>
      </w:r>
      <w:r>
        <w:rPr>
          <w:rFonts w:hint="eastAsia" w:ascii="Times New Roman" w:hAnsi="Times New Roman" w:eastAsia="宋体" w:cs="Times New Roman"/>
          <w:b w:val="0"/>
          <w:bCs/>
          <w:i w:val="0"/>
          <w:iCs w:val="0"/>
          <w:kern w:val="0"/>
          <w:sz w:val="20"/>
          <w:szCs w:val="20"/>
          <w:highlight w:val="none"/>
          <w:lang w:val="en-US" w:eastAsia="zh-CN"/>
        </w:rPr>
        <w:t xml:space="preserve"> in </w:t>
      </w:r>
      <w:r>
        <w:rPr>
          <w:rFonts w:hint="eastAsia" w:ascii="Times New Roman" w:hAnsi="Times New Roman" w:eastAsia="宋体" w:cs="Times New Roman"/>
          <w:b w:val="0"/>
          <w:bCs/>
          <w:i/>
          <w:iCs/>
          <w:kern w:val="0"/>
          <w:sz w:val="20"/>
          <w:szCs w:val="20"/>
          <w:highlight w:val="none"/>
          <w:lang w:val="en-US" w:eastAsia="zh-CN"/>
        </w:rPr>
        <w:t>SIB1-&gt;Initial BWP-&gt;PUCCH-ConfigCommon</w:t>
      </w:r>
      <w:r>
        <w:rPr>
          <w:rFonts w:hint="default" w:ascii="Times New Roman" w:hAnsi="Times New Roman" w:eastAsia="宋体" w:cs="Times New Roman"/>
          <w:b w:val="0"/>
          <w:bCs/>
          <w:i/>
          <w:iCs/>
          <w:kern w:val="0"/>
          <w:sz w:val="20"/>
          <w:szCs w:val="20"/>
          <w:highlight w:val="none"/>
          <w:lang w:val="en-US" w:eastAsia="zh-CN"/>
        </w:rPr>
        <w:t xml:space="preserve">, </w:t>
      </w:r>
      <w:r>
        <w:rPr>
          <w:rFonts w:hint="default" w:ascii="Times New Roman" w:hAnsi="Times New Roman" w:eastAsia="宋体" w:cs="Times New Roman"/>
          <w:b w:val="0"/>
          <w:bCs/>
          <w:i w:val="0"/>
          <w:iCs w:val="0"/>
          <w:kern w:val="0"/>
          <w:sz w:val="20"/>
          <w:szCs w:val="20"/>
          <w:highlight w:val="none"/>
          <w:lang w:val="en-US" w:eastAsia="zh-CN"/>
        </w:rPr>
        <w:t>and t</w:t>
      </w:r>
      <w:r>
        <w:rPr>
          <w:rFonts w:hint="eastAsia" w:ascii="Times New Roman" w:hAnsi="Times New Roman" w:eastAsia="宋体" w:cs="Times New Roman"/>
          <w:b w:val="0"/>
          <w:bCs/>
          <w:i w:val="0"/>
          <w:iCs w:val="0"/>
          <w:kern w:val="0"/>
          <w:sz w:val="20"/>
          <w:szCs w:val="20"/>
          <w:highlight w:val="none"/>
          <w:lang w:val="en-US" w:eastAsia="zh-CN"/>
        </w:rPr>
        <w:t>his IE is a common resource set, therefore it is difficult to modify.</w:t>
      </w:r>
    </w:p>
    <w:p>
      <w:pPr>
        <w:spacing w:before="120" w:beforeLines="50" w:after="120" w:afterLines="50"/>
        <w:rPr>
          <w:rFonts w:hint="eastAsia" w:ascii="Times New Roman" w:hAnsi="Times New Roman" w:eastAsia="宋体" w:cs="Times New Roman"/>
          <w:b w:val="0"/>
          <w:bCs/>
          <w:i w:val="0"/>
          <w:iCs w:val="0"/>
          <w:kern w:val="0"/>
          <w:sz w:val="20"/>
          <w:szCs w:val="20"/>
          <w:highlight w:val="none"/>
          <w:lang w:val="en-US" w:eastAsia="zh-CN"/>
        </w:rPr>
      </w:pPr>
      <w:r>
        <w:rPr>
          <w:rFonts w:hint="eastAsia" w:ascii="Times New Roman" w:hAnsi="Times New Roman" w:eastAsia="宋体" w:cs="Times New Roman"/>
          <w:b w:val="0"/>
          <w:bCs/>
          <w:kern w:val="0"/>
          <w:sz w:val="20"/>
          <w:szCs w:val="20"/>
          <w:highlight w:val="none"/>
          <w:lang w:val="en-US" w:eastAsia="zh-CN"/>
        </w:rPr>
        <w:t>Two options could be considered to enable the PUCCH repetitions for Msg4 HARQ-ACK</w:t>
      </w:r>
      <w:r>
        <w:rPr>
          <w:rFonts w:hint="default" w:ascii="Times New Roman" w:hAnsi="Times New Roman" w:eastAsia="宋体" w:cs="Times New Roman"/>
          <w:b w:val="0"/>
          <w:bCs/>
          <w:kern w:val="0"/>
          <w:sz w:val="20"/>
          <w:szCs w:val="20"/>
          <w:highlight w:val="none"/>
          <w:lang w:val="en-US" w:eastAsia="zh-CN"/>
        </w:rPr>
        <w:t xml:space="preserve"> in NTN scenarios</w:t>
      </w:r>
      <w:r>
        <w:rPr>
          <w:rFonts w:hint="eastAsia" w:ascii="Times New Roman" w:hAnsi="Times New Roman" w:eastAsia="宋体" w:cs="Times New Roman"/>
          <w:b w:val="0"/>
          <w:bCs/>
          <w:kern w:val="0"/>
          <w:sz w:val="20"/>
          <w:szCs w:val="20"/>
          <w:highlight w:val="none"/>
          <w:lang w:val="en-US" w:eastAsia="zh-CN"/>
        </w:rPr>
        <w:t xml:space="preserve">. Same </w:t>
      </w:r>
      <w:r>
        <w:rPr>
          <w:rFonts w:hint="eastAsia" w:ascii="Times New Roman" w:hAnsi="Times New Roman" w:eastAsia="宋体" w:cs="Times New Roman"/>
          <w:b w:val="0"/>
          <w:bCs/>
          <w:i w:val="0"/>
          <w:iCs w:val="0"/>
          <w:kern w:val="0"/>
          <w:sz w:val="20"/>
          <w:szCs w:val="20"/>
          <w:highlight w:val="none"/>
          <w:lang w:val="en-US" w:eastAsia="zh-CN"/>
        </w:rPr>
        <w:t>mechanism for Msg3 repetition in Rel-17 can be reused in this sce</w:t>
      </w:r>
      <w:r>
        <w:rPr>
          <w:rFonts w:hint="default" w:ascii="Times New Roman" w:hAnsi="Times New Roman" w:eastAsia="宋体" w:cs="Times New Roman"/>
          <w:b w:val="0"/>
          <w:bCs/>
          <w:i w:val="0"/>
          <w:iCs w:val="0"/>
          <w:kern w:val="0"/>
          <w:sz w:val="20"/>
          <w:szCs w:val="20"/>
          <w:highlight w:val="none"/>
          <w:lang w:val="en-US" w:eastAsia="zh-CN"/>
        </w:rPr>
        <w:t>nar</w:t>
      </w:r>
      <w:r>
        <w:rPr>
          <w:rFonts w:hint="eastAsia" w:ascii="Times New Roman" w:hAnsi="Times New Roman" w:eastAsia="宋体" w:cs="Times New Roman"/>
          <w:b w:val="0"/>
          <w:bCs/>
          <w:i w:val="0"/>
          <w:iCs w:val="0"/>
          <w:kern w:val="0"/>
          <w:sz w:val="20"/>
          <w:szCs w:val="20"/>
          <w:highlight w:val="none"/>
          <w:lang w:val="en-US" w:eastAsia="zh-CN"/>
        </w:rPr>
        <w:t>io. UE request</w:t>
      </w:r>
      <w:r>
        <w:rPr>
          <w:rFonts w:hint="default" w:ascii="Times New Roman" w:hAnsi="Times New Roman" w:eastAsia="宋体" w:cs="Times New Roman"/>
          <w:b w:val="0"/>
          <w:bCs/>
          <w:i w:val="0"/>
          <w:iCs w:val="0"/>
          <w:kern w:val="0"/>
          <w:sz w:val="20"/>
          <w:szCs w:val="20"/>
          <w:highlight w:val="none"/>
          <w:lang w:val="en-US" w:eastAsia="zh-CN"/>
        </w:rPr>
        <w:t>s</w:t>
      </w:r>
      <w:r>
        <w:rPr>
          <w:rFonts w:hint="eastAsia" w:ascii="Times New Roman" w:hAnsi="Times New Roman" w:eastAsia="宋体" w:cs="Times New Roman"/>
          <w:b w:val="0"/>
          <w:bCs/>
          <w:i w:val="0"/>
          <w:iCs w:val="0"/>
          <w:kern w:val="0"/>
          <w:sz w:val="20"/>
          <w:szCs w:val="20"/>
          <w:highlight w:val="none"/>
          <w:lang w:val="en-US" w:eastAsia="zh-CN"/>
        </w:rPr>
        <w:t xml:space="preserve"> Msg4 HARQ-ACK repetition in Msg1 by using a specific preamble when measured SSB-RSRP meet</w:t>
      </w:r>
      <w:r>
        <w:rPr>
          <w:rFonts w:hint="default" w:ascii="Times New Roman" w:hAnsi="Times New Roman" w:eastAsia="宋体" w:cs="Times New Roman"/>
          <w:b w:val="0"/>
          <w:bCs/>
          <w:i w:val="0"/>
          <w:iCs w:val="0"/>
          <w:kern w:val="0"/>
          <w:sz w:val="20"/>
          <w:szCs w:val="20"/>
          <w:highlight w:val="none"/>
          <w:lang w:val="en-US" w:eastAsia="zh-CN"/>
        </w:rPr>
        <w:t>s</w:t>
      </w:r>
      <w:r>
        <w:rPr>
          <w:rFonts w:hint="eastAsia" w:ascii="Times New Roman" w:hAnsi="Times New Roman" w:eastAsia="宋体" w:cs="Times New Roman"/>
          <w:b w:val="0"/>
          <w:bCs/>
          <w:i w:val="0"/>
          <w:iCs w:val="0"/>
          <w:kern w:val="0"/>
          <w:sz w:val="20"/>
          <w:szCs w:val="20"/>
          <w:highlight w:val="none"/>
          <w:lang w:val="en-US" w:eastAsia="zh-CN"/>
        </w:rPr>
        <w:t xml:space="preserve"> the threshold, and then Msg2 carries the indication by reinterpreted bit field in RAR UL Grant. Considering UL coverage limitation happens in both Msg3 and Msg4 HARQ-ACK, a joint repetit</w:t>
      </w:r>
      <w:r>
        <w:rPr>
          <w:rFonts w:hint="default" w:ascii="Times New Roman" w:hAnsi="Times New Roman" w:eastAsia="宋体" w:cs="Times New Roman"/>
          <w:b w:val="0"/>
          <w:bCs/>
          <w:i w:val="0"/>
          <w:iCs w:val="0"/>
          <w:kern w:val="0"/>
          <w:sz w:val="20"/>
          <w:szCs w:val="20"/>
          <w:highlight w:val="none"/>
          <w:lang w:val="en-US" w:eastAsia="zh-CN"/>
        </w:rPr>
        <w:t>i</w:t>
      </w:r>
      <w:r>
        <w:rPr>
          <w:rFonts w:hint="eastAsia" w:ascii="Times New Roman" w:hAnsi="Times New Roman" w:eastAsia="宋体" w:cs="Times New Roman"/>
          <w:b w:val="0"/>
          <w:bCs/>
          <w:i w:val="0"/>
          <w:iCs w:val="0"/>
          <w:kern w:val="0"/>
          <w:sz w:val="20"/>
          <w:szCs w:val="20"/>
          <w:highlight w:val="none"/>
          <w:lang w:val="en-US" w:eastAsia="zh-CN"/>
        </w:rPr>
        <w:t>on indication can also be discussed.</w:t>
      </w:r>
    </w:p>
    <w:p>
      <w:pPr>
        <w:adjustRightInd w:val="0"/>
        <w:snapToGrid w:val="0"/>
        <w:spacing w:before="0" w:beforeLines="0" w:after="0" w:afterLines="0"/>
        <w:rPr>
          <w:rFonts w:hint="eastAsia" w:ascii="Times New Roman" w:hAnsi="Times New Roman" w:eastAsia="宋体" w:cs="Times New Roman"/>
          <w:b/>
          <w:bCs w:val="0"/>
          <w:i w:val="0"/>
          <w:iCs w:val="0"/>
          <w:kern w:val="0"/>
          <w:sz w:val="20"/>
          <w:szCs w:val="20"/>
          <w:highlight w:val="none"/>
          <w:lang w:val="en-US" w:eastAsia="zh-CN"/>
        </w:rPr>
      </w:pPr>
      <w:r>
        <w:rPr>
          <w:rFonts w:hint="eastAsia" w:ascii="Times New Roman" w:hAnsi="Times New Roman" w:eastAsia="宋体" w:cs="Times New Roman"/>
          <w:b/>
          <w:bCs w:val="0"/>
          <w:i w:val="0"/>
          <w:iCs w:val="0"/>
          <w:kern w:val="0"/>
          <w:sz w:val="20"/>
          <w:szCs w:val="20"/>
          <w:highlight w:val="none"/>
          <w:lang w:val="en-US" w:eastAsia="zh-CN"/>
        </w:rPr>
        <w:t>Proposal 1:</w:t>
      </w:r>
      <w:r>
        <w:rPr>
          <w:rFonts w:hint="default" w:ascii="Times New Roman" w:hAnsi="Times New Roman" w:eastAsia="宋体" w:cs="Times New Roman"/>
          <w:b/>
          <w:bCs w:val="0"/>
          <w:i w:val="0"/>
          <w:iCs w:val="0"/>
          <w:kern w:val="0"/>
          <w:sz w:val="20"/>
          <w:szCs w:val="20"/>
          <w:highlight w:val="none"/>
          <w:lang w:val="en-US" w:eastAsia="zh-CN"/>
        </w:rPr>
        <w:t xml:space="preserve"> </w:t>
      </w:r>
      <w:r>
        <w:rPr>
          <w:rFonts w:hint="eastAsia" w:ascii="Times New Roman" w:hAnsi="Times New Roman" w:eastAsia="宋体" w:cs="Times New Roman"/>
          <w:b/>
          <w:bCs w:val="0"/>
          <w:i w:val="0"/>
          <w:iCs w:val="0"/>
          <w:kern w:val="0"/>
          <w:sz w:val="20"/>
          <w:szCs w:val="20"/>
          <w:highlight w:val="none"/>
          <w:lang w:val="en-US" w:eastAsia="zh-CN"/>
        </w:rPr>
        <w:t>Enabling PUCCH repetitions</w:t>
      </w:r>
      <w:r>
        <w:rPr>
          <w:rFonts w:hint="default" w:ascii="Times New Roman" w:hAnsi="Times New Roman" w:eastAsia="宋体" w:cs="Times New Roman"/>
          <w:b/>
          <w:bCs w:val="0"/>
          <w:i w:val="0"/>
          <w:iCs w:val="0"/>
          <w:kern w:val="0"/>
          <w:sz w:val="20"/>
          <w:szCs w:val="20"/>
          <w:highlight w:val="none"/>
          <w:lang w:val="en-US" w:eastAsia="zh-CN"/>
        </w:rPr>
        <w:t xml:space="preserve"> can be supported in NTN</w:t>
      </w:r>
      <w:r>
        <w:rPr>
          <w:rFonts w:hint="eastAsia" w:ascii="Times New Roman" w:hAnsi="Times New Roman" w:eastAsia="宋体" w:cs="Times New Roman"/>
          <w:b/>
          <w:bCs w:val="0"/>
          <w:i w:val="0"/>
          <w:iCs w:val="0"/>
          <w:kern w:val="0"/>
          <w:sz w:val="20"/>
          <w:szCs w:val="20"/>
          <w:highlight w:val="none"/>
          <w:lang w:val="en-US" w:eastAsia="zh-CN"/>
        </w:rPr>
        <w:t>, two options can be discussed.</w:t>
      </w:r>
    </w:p>
    <w:p>
      <w:pPr>
        <w:widowControl/>
        <w:numPr>
          <w:ilvl w:val="0"/>
          <w:numId w:val="11"/>
        </w:numPr>
        <w:adjustRightInd/>
        <w:snapToGrid/>
        <w:spacing w:before="120" w:beforeLines="-2147483648" w:after="120" w:afterLines="-2147483648"/>
        <w:ind w:left="660" w:leftChars="100" w:hanging="420"/>
        <w:rPr>
          <w:rFonts w:hint="default" w:ascii="Times New Roman" w:hAnsi="Times New Roman" w:eastAsia="MS Mincho" w:cs="Times New Roman"/>
          <w:b/>
          <w:bCs/>
          <w:i w:val="0"/>
          <w:iCs w:val="0"/>
          <w:kern w:val="0"/>
          <w:sz w:val="20"/>
          <w:szCs w:val="20"/>
          <w:u w:val="none"/>
          <w:lang w:val="en-US" w:eastAsia="en-US"/>
        </w:rPr>
      </w:pPr>
      <w:r>
        <w:rPr>
          <w:rFonts w:hint="default" w:ascii="Times New Roman" w:hAnsi="Times New Roman" w:eastAsia="MS Mincho" w:cs="Times New Roman"/>
          <w:b/>
          <w:bCs/>
          <w:i w:val="0"/>
          <w:iCs w:val="0"/>
          <w:kern w:val="0"/>
          <w:sz w:val="20"/>
          <w:szCs w:val="20"/>
          <w:u w:val="none"/>
          <w:lang w:val="en-US" w:eastAsia="en-US"/>
        </w:rPr>
        <w:t>Option 1: Reuse mechanism for Msg3 repetition.</w:t>
      </w:r>
    </w:p>
    <w:p>
      <w:pPr>
        <w:widowControl/>
        <w:numPr>
          <w:ilvl w:val="0"/>
          <w:numId w:val="11"/>
        </w:numPr>
        <w:adjustRightInd/>
        <w:snapToGrid/>
        <w:spacing w:before="120" w:beforeLines="-2147483648" w:after="120" w:afterLines="-2147483648"/>
        <w:ind w:left="660" w:leftChars="100" w:hanging="420"/>
        <w:rPr>
          <w:rFonts w:hint="default" w:ascii="Times New Roman" w:hAnsi="Times New Roman" w:eastAsia="MS Mincho" w:cs="Times New Roman"/>
          <w:b/>
          <w:bCs/>
          <w:kern w:val="0"/>
          <w:sz w:val="20"/>
          <w:szCs w:val="20"/>
          <w:u w:val="none"/>
          <w:lang w:val="en-US" w:eastAsia="en-US"/>
        </w:rPr>
      </w:pPr>
      <w:r>
        <w:rPr>
          <w:rFonts w:hint="default" w:ascii="Times New Roman" w:hAnsi="Times New Roman" w:eastAsia="MS Mincho" w:cs="Times New Roman"/>
          <w:b/>
          <w:bCs/>
          <w:i w:val="0"/>
          <w:iCs w:val="0"/>
          <w:kern w:val="0"/>
          <w:sz w:val="20"/>
          <w:szCs w:val="20"/>
          <w:u w:val="none"/>
          <w:lang w:val="en-US" w:eastAsia="en-US"/>
        </w:rPr>
        <w:t>Option 2: A joint indication for both Msg3 and Msg4 HARQ-ACK repetitions.</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4"/>
          <w:szCs w:val="24"/>
          <w:lang w:val="en-US"/>
        </w:rPr>
      </w:pPr>
      <w:r>
        <w:rPr>
          <w:rFonts w:hint="default"/>
          <w:b/>
          <w:bCs/>
          <w:sz w:val="24"/>
          <w:szCs w:val="24"/>
          <w:lang w:val="en-US"/>
        </w:rPr>
        <w:t>2.2 DMRS bundling</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Another key issue is whether DMRS bundling for PUSCH can be supported to meet the coverage performance, in addition to considering the deployment scenarios and services requirements, the evaluation of PUSCH with DMRS bundling should also takes </w:t>
      </w:r>
      <w:r>
        <w:rPr>
          <w:rFonts w:hint="default" w:ascii="Times New Roman" w:hAnsi="Times New Roman" w:eastAsia="MS Mincho" w:cs="Times New Roman"/>
          <w:b w:val="0"/>
          <w:bCs w:val="0"/>
          <w:kern w:val="0"/>
          <w:sz w:val="20"/>
          <w:szCs w:val="20"/>
          <w:u w:val="none"/>
          <w:lang w:eastAsia="en-US"/>
        </w:rPr>
        <w:t>NTN characteristics</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in</w:t>
      </w:r>
      <w:r>
        <w:rPr>
          <w:rFonts w:hint="default" w:ascii="Times New Roman" w:hAnsi="Times New Roman" w:cs="Times New Roman"/>
          <w:bCs/>
          <w:iCs/>
          <w:sz w:val="20"/>
          <w:szCs w:val="20"/>
          <w:lang w:val="en-US"/>
        </w:rPr>
        <w:t>to accounts</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Thus</w:t>
      </w:r>
      <w:r>
        <w:rPr>
          <w:rFonts w:ascii="Times New Roman" w:hAnsi="Times New Roman" w:cs="Times New Roman"/>
          <w:bCs/>
          <w:iCs/>
          <w:sz w:val="20"/>
          <w:szCs w:val="20"/>
        </w:rPr>
        <w:t xml:space="preserve">, it is important to study and clarify the issues </w:t>
      </w:r>
      <w:r>
        <w:rPr>
          <w:rFonts w:hint="default" w:ascii="Times New Roman" w:hAnsi="Times New Roman" w:cs="Times New Roman"/>
          <w:bCs/>
          <w:iCs/>
          <w:sz w:val="20"/>
          <w:szCs w:val="20"/>
          <w:lang w:val="en-US"/>
        </w:rPr>
        <w:t xml:space="preserve">and possibility to </w:t>
      </w:r>
      <w:r>
        <w:rPr>
          <w:rFonts w:ascii="Times New Roman" w:hAnsi="Times New Roman" w:cs="Times New Roman"/>
          <w:bCs/>
          <w:iCs/>
          <w:sz w:val="20"/>
          <w:szCs w:val="20"/>
        </w:rPr>
        <w:t>appl</w:t>
      </w:r>
      <w:r>
        <w:rPr>
          <w:rFonts w:hint="default" w:ascii="Times New Roman" w:hAnsi="Times New Roman" w:cs="Times New Roman"/>
          <w:bCs/>
          <w:iCs/>
          <w:sz w:val="20"/>
          <w:szCs w:val="20"/>
          <w:lang w:val="en-US"/>
        </w:rPr>
        <w:t xml:space="preserve">y DMRS bundling in NTN scenarios, especially for fast time-variant channel. The observations </w:t>
      </w:r>
      <w:r>
        <w:rPr>
          <w:rFonts w:hint="default" w:ascii="Times New Roman" w:hAnsi="Times New Roman" w:eastAsia="Batang" w:cs="Times New Roman"/>
          <w:sz w:val="20"/>
          <w:szCs w:val="20"/>
          <w:lang w:val="en-US" w:eastAsia="en-US"/>
        </w:rPr>
        <w:t>of PUSCH for VoIP</w:t>
      </w:r>
      <w:r>
        <w:rPr>
          <w:rFonts w:hint="default" w:ascii="Times New Roman" w:hAnsi="Times New Roman" w:cs="Times New Roman"/>
          <w:bCs/>
          <w:iCs/>
          <w:sz w:val="20"/>
          <w:szCs w:val="20"/>
          <w:lang w:val="en-US"/>
        </w:rPr>
        <w:t xml:space="preserve"> reached in last RAN1 meeting are as following, whether DMRS bundling is considered in simulation is not unified yet.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pacing w:before="120" w:after="120" w:line="240" w:lineRule="auto"/>
              <w:textAlignment w:val="auto"/>
              <w:rPr>
                <w:rFonts w:hint="default" w:ascii="Times New Roman" w:hAnsi="Times New Roman" w:eastAsia="Batang" w:cs="Times New Roman"/>
                <w:b/>
                <w:sz w:val="20"/>
                <w:szCs w:val="20"/>
                <w:lang w:eastAsia="zh-CN"/>
              </w:rPr>
            </w:pPr>
            <w:r>
              <w:rPr>
                <w:rFonts w:hint="default" w:ascii="Times New Roman" w:hAnsi="Times New Roman" w:eastAsia="Batang" w:cs="Times New Roman"/>
                <w:b/>
                <w:sz w:val="20"/>
                <w:szCs w:val="20"/>
                <w:lang w:eastAsia="zh-CN"/>
              </w:rPr>
              <w:t>Observation</w:t>
            </w:r>
          </w:p>
          <w:p>
            <w:pPr>
              <w:keepNext w:val="0"/>
              <w:keepLines w:val="0"/>
              <w:pageBreakBefore w:val="0"/>
              <w:widowControl w:val="0"/>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For PUSCH for VoIP with </w:t>
            </w:r>
            <w:r>
              <w:rPr>
                <w:rFonts w:hint="default" w:ascii="Times New Roman" w:hAnsi="Times New Roman" w:eastAsia="Yu Gothic" w:cs="Times New Roman"/>
                <w:sz w:val="20"/>
                <w:szCs w:val="20"/>
                <w:lang w:eastAsia="en-US"/>
              </w:rPr>
              <w:t>parameter set-1 for LEO-1200 operating at LOS</w:t>
            </w:r>
            <w:r>
              <w:rPr>
                <w:rFonts w:hint="default" w:ascii="Times New Roman" w:hAnsi="Times New Roman" w:eastAsia="Batang" w:cs="Times New Roman"/>
                <w:sz w:val="20"/>
                <w:szCs w:val="20"/>
                <w:lang w:val="en-US" w:eastAsia="en-US"/>
              </w:rPr>
              <w:t>,</w:t>
            </w:r>
          </w:p>
          <w:p>
            <w:pPr>
              <w:keepNext w:val="0"/>
              <w:keepLines w:val="0"/>
              <w:pageBreakBefore w:val="0"/>
              <w:widowControl w:val="0"/>
              <w:numPr>
                <w:ilvl w:val="0"/>
                <w:numId w:val="13"/>
              </w:numPr>
              <w:kinsoku/>
              <w:wordWrap/>
              <w:overflowPunct/>
              <w:topLinePunct w:val="0"/>
              <w:autoSpaceDE/>
              <w:autoSpaceDN/>
              <w:bidi w:val="0"/>
              <w:adjustRightInd/>
              <w:snapToGrid w:val="0"/>
              <w:spacing w:before="120" w:after="120" w:line="240" w:lineRule="auto"/>
              <w:ind w:left="720"/>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Six sources observed that the existing specification can meet the performance requirement with a margin of 0 to 1.7 dB</w:t>
            </w:r>
          </w:p>
          <w:p>
            <w:pPr>
              <w:keepNext w:val="0"/>
              <w:keepLines w:val="0"/>
              <w:pageBreakBefore w:val="0"/>
              <w:widowControl w:val="0"/>
              <w:numPr>
                <w:ilvl w:val="1"/>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Times New Roman" w:cs="Times New Roman"/>
                <w:sz w:val="20"/>
                <w:szCs w:val="20"/>
                <w:lang w:val="en-US" w:eastAsia="en-US"/>
              </w:rPr>
              <w:t>One company simulated by using 20 repetitions without DMRS bundling</w:t>
            </w:r>
          </w:p>
          <w:p>
            <w:pPr>
              <w:keepNext w:val="0"/>
              <w:keepLines w:val="0"/>
              <w:pageBreakBefore w:val="0"/>
              <w:widowControl w:val="0"/>
              <w:numPr>
                <w:ilvl w:val="1"/>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Times New Roman" w:cs="Times New Roman"/>
                <w:sz w:val="20"/>
                <w:szCs w:val="20"/>
                <w:lang w:val="en-US" w:eastAsia="en-US"/>
              </w:rPr>
              <w:t>Four companies simulated by using 20 repetitions with DMRS bundling</w:t>
            </w:r>
          </w:p>
          <w:p>
            <w:pPr>
              <w:keepNext w:val="0"/>
              <w:keepLines w:val="0"/>
              <w:pageBreakBefore w:val="0"/>
              <w:widowControl w:val="0"/>
              <w:numPr>
                <w:ilvl w:val="1"/>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Times New Roman" w:cs="Times New Roman"/>
                <w:sz w:val="20"/>
                <w:szCs w:val="20"/>
                <w:lang w:val="en-US" w:eastAsia="en-US"/>
              </w:rPr>
              <w:t>One company simulated by using 32 repetitions with DMRS bundling</w:t>
            </w:r>
          </w:p>
          <w:p>
            <w:pPr>
              <w:keepNext w:val="0"/>
              <w:keepLines w:val="0"/>
              <w:pageBreakBefore w:val="0"/>
              <w:widowControl w:val="0"/>
              <w:numPr>
                <w:ilvl w:val="2"/>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 xml:space="preserve">Note: this is the only result using </w:t>
            </w:r>
            <w:r>
              <w:rPr>
                <w:rFonts w:hint="default" w:ascii="Times New Roman" w:hAnsi="Times New Roman" w:eastAsia="Times New Roman" w:cs="Times New Roman"/>
                <w:sz w:val="20"/>
                <w:szCs w:val="20"/>
                <w:lang w:val="en-US" w:eastAsia="en-US"/>
              </w:rPr>
              <w:t>frame combining by application layer</w:t>
            </w:r>
          </w:p>
          <w:p>
            <w:pPr>
              <w:keepNext w:val="0"/>
              <w:keepLines w:val="0"/>
              <w:pageBreakBefore w:val="0"/>
              <w:widowControl w:val="0"/>
              <w:numPr>
                <w:ilvl w:val="0"/>
                <w:numId w:val="13"/>
              </w:numPr>
              <w:kinsoku/>
              <w:wordWrap/>
              <w:overflowPunct/>
              <w:topLinePunct w:val="0"/>
              <w:autoSpaceDE/>
              <w:autoSpaceDN/>
              <w:bidi w:val="0"/>
              <w:adjustRightInd/>
              <w:snapToGrid w:val="0"/>
              <w:spacing w:before="120" w:after="120" w:line="240" w:lineRule="auto"/>
              <w:ind w:left="720"/>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Nine sources observed that the existing specification cannot meet the performance requirement with a gap of 0.3 to 8.6 dB</w:t>
            </w:r>
          </w:p>
          <w:p>
            <w:pPr>
              <w:keepNext w:val="0"/>
              <w:keepLines w:val="0"/>
              <w:pageBreakBefore w:val="0"/>
              <w:widowControl w:val="0"/>
              <w:numPr>
                <w:ilvl w:val="1"/>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Times New Roman" w:cs="Times New Roman"/>
                <w:sz w:val="20"/>
                <w:szCs w:val="20"/>
                <w:lang w:val="en-US" w:eastAsia="en-US"/>
              </w:rPr>
              <w:t>Eight companies simulated by using 20 repetitions without DMRS bundling</w:t>
            </w:r>
          </w:p>
          <w:p>
            <w:pPr>
              <w:keepNext w:val="0"/>
              <w:keepLines w:val="0"/>
              <w:pageBreakBefore w:val="0"/>
              <w:widowControl w:val="0"/>
              <w:numPr>
                <w:ilvl w:val="1"/>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Times New Roman" w:cs="Times New Roman"/>
                <w:sz w:val="20"/>
                <w:szCs w:val="20"/>
                <w:lang w:val="en-US" w:eastAsia="en-US"/>
              </w:rPr>
              <w:t>Seven companies simulated without frequency hopping</w:t>
            </w:r>
          </w:p>
          <w:p>
            <w:pPr>
              <w:keepNext w:val="0"/>
              <w:keepLines w:val="0"/>
              <w:pageBreakBefore w:val="0"/>
              <w:widowControl w:val="0"/>
              <w:numPr>
                <w:ilvl w:val="1"/>
                <w:numId w:val="13"/>
              </w:numPr>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Times New Roman" w:cs="Times New Roman"/>
                <w:sz w:val="20"/>
                <w:szCs w:val="20"/>
                <w:lang w:val="en-US" w:eastAsia="en-US"/>
              </w:rPr>
              <w:t>One company simulated by using 16 repetitions with DMRS bundling</w:t>
            </w:r>
          </w:p>
          <w:p>
            <w:pPr>
              <w:keepNext w:val="0"/>
              <w:keepLines w:val="0"/>
              <w:pageBreakBefore w:val="0"/>
              <w:widowControl w:val="0"/>
              <w:kinsoku/>
              <w:wordWrap/>
              <w:overflowPunct/>
              <w:topLinePunct w:val="0"/>
              <w:autoSpaceDE/>
              <w:autoSpaceDN/>
              <w:bidi w:val="0"/>
              <w:adjustRightInd/>
              <w:spacing w:before="120" w:after="120" w:line="240" w:lineRule="auto"/>
              <w:textAlignment w:val="auto"/>
              <w:rPr>
                <w:rFonts w:hint="default" w:ascii="Times New Roman" w:hAnsi="Times New Roman" w:eastAsia="Batang" w:cs="Times New Roman"/>
                <w:sz w:val="20"/>
                <w:szCs w:val="20"/>
                <w:lang w:val="en-US" w:eastAsia="en-US"/>
              </w:rPr>
            </w:pPr>
            <w:r>
              <w:rPr>
                <w:rFonts w:hint="default" w:ascii="Times New Roman" w:hAnsi="Times New Roman" w:eastAsia="Batang" w:cs="Times New Roman"/>
                <w:sz w:val="20"/>
                <w:szCs w:val="20"/>
                <w:lang w:val="en-US" w:eastAsia="en-US"/>
              </w:rPr>
              <w:t>Note: for the observations above, some sources used 1 Rx antenna and some sources used 2 Rx antennas at the satellite.</w:t>
            </w:r>
          </w:p>
          <w:p>
            <w:pPr>
              <w:keepNext w:val="0"/>
              <w:keepLines w:val="0"/>
              <w:pageBreakBefore w:val="0"/>
              <w:widowControl w:val="0"/>
              <w:kinsoku/>
              <w:wordWrap/>
              <w:overflowPunct/>
              <w:topLinePunct w:val="0"/>
              <w:autoSpaceDE/>
              <w:autoSpaceDN/>
              <w:bidi w:val="0"/>
              <w:adjustRightInd/>
              <w:spacing w:before="120" w:after="120" w:line="240" w:lineRule="auto"/>
              <w:textAlignment w:val="auto"/>
              <w:rPr>
                <w:rFonts w:hint="default" w:ascii="Times New Roman" w:hAnsi="Times New Roman" w:eastAsia="Batang" w:cs="Times New Roman"/>
                <w:sz w:val="20"/>
                <w:szCs w:val="20"/>
                <w:lang w:eastAsia="zh-CN"/>
              </w:rPr>
            </w:pPr>
          </w:p>
          <w:p>
            <w:pPr>
              <w:keepNext w:val="0"/>
              <w:keepLines w:val="0"/>
              <w:pageBreakBefore w:val="0"/>
              <w:widowControl w:val="0"/>
              <w:kinsoku/>
              <w:wordWrap/>
              <w:overflowPunct/>
              <w:topLinePunct w:val="0"/>
              <w:autoSpaceDE/>
              <w:autoSpaceDN/>
              <w:bidi w:val="0"/>
              <w:adjustRightInd/>
              <w:spacing w:before="120" w:after="120" w:line="240" w:lineRule="auto"/>
              <w:textAlignment w:val="auto"/>
              <w:rPr>
                <w:rFonts w:hint="default" w:ascii="Times New Roman" w:hAnsi="Times New Roman" w:eastAsia="Batang" w:cs="Times New Roman"/>
                <w:b/>
                <w:sz w:val="20"/>
                <w:szCs w:val="20"/>
                <w:lang w:val="en-US" w:eastAsia="en-US"/>
              </w:rPr>
            </w:pPr>
            <w:r>
              <w:rPr>
                <w:rFonts w:hint="default" w:ascii="Times New Roman" w:hAnsi="Times New Roman" w:eastAsia="Batang" w:cs="Times New Roman"/>
                <w:b/>
                <w:sz w:val="20"/>
                <w:szCs w:val="20"/>
                <w:lang w:val="en-US" w:eastAsia="en-US"/>
              </w:rPr>
              <w:t>Observation</w:t>
            </w:r>
          </w:p>
          <w:p>
            <w:pPr>
              <w:keepNext w:val="0"/>
              <w:keepLines w:val="0"/>
              <w:pageBreakBefore w:val="0"/>
              <w:widowControl w:val="0"/>
              <w:kinsoku/>
              <w:wordWrap/>
              <w:overflowPunct/>
              <w:topLinePunct w:val="0"/>
              <w:autoSpaceDE/>
              <w:autoSpaceDN/>
              <w:bidi w:val="0"/>
              <w:adjustRightInd/>
              <w:spacing w:before="120" w:after="120"/>
              <w:textAlignment w:val="auto"/>
              <w:rPr>
                <w:rFonts w:hint="default" w:ascii="Times New Roman" w:hAnsi="Times New Roman" w:cs="Times New Roman"/>
                <w:sz w:val="20"/>
                <w:szCs w:val="20"/>
                <w:lang w:val="en-US" w:eastAsia="en-US"/>
              </w:rPr>
            </w:pPr>
            <w:r>
              <w:rPr>
                <w:rFonts w:hint="default" w:ascii="Times New Roman" w:hAnsi="Times New Roman" w:eastAsia="Batang" w:cs="Times New Roman"/>
                <w:sz w:val="20"/>
                <w:szCs w:val="20"/>
                <w:lang w:val="en-US" w:eastAsia="en-US"/>
              </w:rPr>
              <w:t xml:space="preserve">RAN1 concluded that enhancement for PUSCH for VoIP may be needed to meet the coverage requirements for </w:t>
            </w:r>
            <w:r>
              <w:rPr>
                <w:rFonts w:hint="default" w:ascii="Times New Roman" w:hAnsi="Times New Roman" w:eastAsia="Yu Gothic" w:cs="Times New Roman"/>
                <w:sz w:val="20"/>
                <w:szCs w:val="20"/>
                <w:lang w:eastAsia="en-US"/>
              </w:rPr>
              <w:t>parameter set-1 for LEO-1200 operating at LOS, assuming -5dBi UE antenna gain, when DMRS bundling is not applied.</w:t>
            </w:r>
          </w:p>
        </w:tc>
      </w:tr>
    </w:tbl>
    <w:p>
      <w:pPr>
        <w:spacing w:before="120" w:beforeLines="50" w:after="120" w:afterLines="50"/>
        <w:rPr>
          <w:rFonts w:hint="eastAsia" w:ascii="Times New Roman" w:hAnsi="Times New Roman" w:cs="Times New Roman"/>
          <w:bCs/>
          <w:iCs/>
          <w:sz w:val="20"/>
          <w:szCs w:val="20"/>
          <w:highlight w:val="none"/>
          <w:lang w:val="en-US" w:eastAsia="zh-CN"/>
        </w:rPr>
      </w:pPr>
      <w:r>
        <w:rPr>
          <w:rFonts w:hint="eastAsia" w:ascii="Times New Roman" w:hAnsi="Times New Roman" w:cs="Times New Roman"/>
          <w:bCs/>
          <w:iCs/>
          <w:sz w:val="20"/>
          <w:szCs w:val="20"/>
          <w:highlight w:val="none"/>
          <w:lang w:val="en-US" w:eastAsia="zh-CN"/>
        </w:rPr>
        <w:t>NTN is a FDD system which has consecutive slots, so more opportunit</w:t>
      </w:r>
      <w:r>
        <w:rPr>
          <w:rFonts w:hint="default" w:ascii="Times New Roman" w:hAnsi="Times New Roman" w:cs="Times New Roman"/>
          <w:bCs/>
          <w:iCs/>
          <w:sz w:val="20"/>
          <w:szCs w:val="20"/>
          <w:highlight w:val="none"/>
          <w:lang w:val="en-US" w:eastAsia="zh-CN"/>
        </w:rPr>
        <w:t>ies</w:t>
      </w:r>
      <w:r>
        <w:rPr>
          <w:rFonts w:hint="eastAsia" w:ascii="Times New Roman" w:hAnsi="Times New Roman" w:cs="Times New Roman"/>
          <w:bCs/>
          <w:iCs/>
          <w:sz w:val="20"/>
          <w:szCs w:val="20"/>
          <w:highlight w:val="none"/>
          <w:lang w:val="en-US" w:eastAsia="zh-CN"/>
        </w:rPr>
        <w:t xml:space="preserve"> can be expected for DMRS bundling. From Rel-17 CE observation, merg</w:t>
      </w:r>
      <w:r>
        <w:rPr>
          <w:rFonts w:hint="default" w:ascii="Times New Roman" w:hAnsi="Times New Roman" w:cs="Times New Roman"/>
          <w:bCs/>
          <w:iCs/>
          <w:sz w:val="20"/>
          <w:szCs w:val="20"/>
          <w:highlight w:val="none"/>
          <w:lang w:val="en-US" w:eastAsia="zh-CN"/>
        </w:rPr>
        <w:t>ing</w:t>
      </w:r>
      <w:r>
        <w:rPr>
          <w:rFonts w:hint="eastAsia" w:ascii="Times New Roman" w:hAnsi="Times New Roman" w:cs="Times New Roman"/>
          <w:bCs/>
          <w:iCs/>
          <w:sz w:val="20"/>
          <w:szCs w:val="20"/>
          <w:highlight w:val="none"/>
          <w:lang w:val="en-US" w:eastAsia="zh-CN"/>
        </w:rPr>
        <w:t xml:space="preserve"> more slots to perform joint channel estimation may have a better gain. The main challenge for DMRS bundling in NTN is whether the channel correlation can be ensured between slots </w:t>
      </w:r>
      <w:r>
        <w:rPr>
          <w:rFonts w:hint="default" w:ascii="Times New Roman" w:hAnsi="Times New Roman" w:cs="Times New Roman"/>
          <w:bCs/>
          <w:iCs/>
          <w:sz w:val="20"/>
          <w:szCs w:val="20"/>
          <w:lang w:val="en-US"/>
        </w:rPr>
        <w:t>for fast time-variant channel</w:t>
      </w:r>
      <w:r>
        <w:rPr>
          <w:rFonts w:hint="eastAsia" w:ascii="Times New Roman" w:hAnsi="Times New Roman" w:cs="Times New Roman"/>
          <w:bCs/>
          <w:iCs/>
          <w:sz w:val="20"/>
          <w:szCs w:val="20"/>
          <w:highlight w:val="none"/>
          <w:lang w:val="en-US" w:eastAsia="zh-CN"/>
        </w:rPr>
        <w:t>, which need more simulation and discussion.</w:t>
      </w:r>
    </w:p>
    <w:p>
      <w:pPr>
        <w:adjustRightInd w:val="0"/>
        <w:snapToGrid w:val="0"/>
        <w:spacing w:before="0" w:beforeLines="0" w:after="0" w:afterLines="0"/>
        <w:rPr>
          <w:rFonts w:hint="default" w:ascii="Times New Roman" w:hAnsi="Times New Roman" w:cs="Times New Roman"/>
          <w:sz w:val="20"/>
          <w:szCs w:val="20"/>
          <w:lang w:val="en-US"/>
        </w:rPr>
      </w:pPr>
      <w:r>
        <w:rPr>
          <w:rFonts w:hint="eastAsia" w:ascii="Times New Roman" w:hAnsi="Times New Roman" w:cs="Times New Roman"/>
          <w:b/>
          <w:bCs w:val="0"/>
          <w:iCs/>
          <w:sz w:val="20"/>
          <w:szCs w:val="20"/>
          <w:highlight w:val="none"/>
          <w:lang w:val="en-US" w:eastAsia="zh-CN"/>
        </w:rPr>
        <w:t>Proposal 2:</w:t>
      </w:r>
      <w:r>
        <w:rPr>
          <w:rFonts w:hint="default" w:ascii="Times New Roman" w:hAnsi="Times New Roman" w:cs="Times New Roman"/>
          <w:b/>
          <w:bCs w:val="0"/>
          <w:iCs/>
          <w:sz w:val="20"/>
          <w:szCs w:val="20"/>
          <w:highlight w:val="none"/>
          <w:lang w:val="en-US" w:eastAsia="zh-CN"/>
        </w:rPr>
        <w:t xml:space="preserve"> </w:t>
      </w:r>
      <w:r>
        <w:rPr>
          <w:rFonts w:hint="eastAsia" w:ascii="Times New Roman" w:hAnsi="Times New Roman" w:cs="Times New Roman"/>
          <w:b/>
          <w:bCs w:val="0"/>
          <w:iCs/>
          <w:sz w:val="20"/>
          <w:szCs w:val="20"/>
          <w:highlight w:val="none"/>
          <w:lang w:val="en-US" w:eastAsia="zh-CN"/>
        </w:rPr>
        <w:t xml:space="preserve">Study whether DMRS bundling can be used in NTN </w:t>
      </w:r>
      <w:r>
        <w:rPr>
          <w:rFonts w:hint="default" w:ascii="Times New Roman" w:hAnsi="Times New Roman" w:cs="Times New Roman"/>
          <w:b/>
          <w:bCs w:val="0"/>
          <w:iCs/>
          <w:sz w:val="20"/>
          <w:szCs w:val="20"/>
          <w:lang w:val="en-US"/>
        </w:rPr>
        <w:t>fast time-variant channel</w:t>
      </w:r>
      <w:r>
        <w:rPr>
          <w:rFonts w:hint="eastAsia" w:ascii="Times New Roman" w:hAnsi="Times New Roman" w:cs="Times New Roman"/>
          <w:b/>
          <w:bCs w:val="0"/>
          <w:iCs/>
          <w:sz w:val="20"/>
          <w:szCs w:val="20"/>
          <w:lang w:val="en-US" w:eastAsia="zh-CN"/>
        </w:rPr>
        <w:t>.</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Another main issue is whether DMRS bundling can be supported in NTN LEO scenarios considering the time and frequency pre-compensation. S</w:t>
      </w:r>
      <w:r>
        <w:rPr>
          <w:rFonts w:ascii="Times New Roman" w:hAnsi="Times New Roman" w:cs="Times New Roman"/>
          <w:bCs/>
          <w:iCs/>
          <w:sz w:val="20"/>
          <w:szCs w:val="20"/>
        </w:rPr>
        <w:t xml:space="preserve">everal agreements were achieved on </w:t>
      </w:r>
      <w:r>
        <w:rPr>
          <w:rFonts w:hint="default" w:ascii="Times New Roman" w:hAnsi="Times New Roman" w:cs="Times New Roman"/>
          <w:bCs/>
          <w:iCs/>
          <w:sz w:val="20"/>
          <w:szCs w:val="20"/>
          <w:lang w:val="en-US"/>
        </w:rPr>
        <w:t>time and frequency pre-compensation</w:t>
      </w:r>
      <w:r>
        <w:rPr>
          <w:rFonts w:ascii="Times New Roman" w:hAnsi="Times New Roman" w:cs="Times New Roman"/>
          <w:bCs/>
          <w:iCs/>
          <w:sz w:val="20"/>
          <w:szCs w:val="20"/>
        </w:rPr>
        <w:t xml:space="preserve"> in</w:t>
      </w:r>
      <w:r>
        <w:rPr>
          <w:rFonts w:hint="default" w:ascii="Times New Roman" w:hAnsi="Times New Roman" w:cs="Times New Roman"/>
          <w:bCs/>
          <w:iCs/>
          <w:sz w:val="20"/>
          <w:szCs w:val="20"/>
          <w:lang w:val="en-US"/>
        </w:rPr>
        <w:t xml:space="preserve"> Rel-17</w:t>
      </w:r>
      <w:r>
        <w:rPr>
          <w:rFonts w:ascii="Times New Roman" w:hAnsi="Times New Roman" w:cs="Times New Roman"/>
          <w:bCs/>
          <w:iCs/>
          <w:sz w:val="20"/>
          <w:szCs w:val="20"/>
        </w:rPr>
        <w:t xml:space="preserve"> NTN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_Ref53758539 \n \h </w:instrText>
      </w:r>
      <w:r>
        <w:rPr>
          <w:rFonts w:ascii="Times New Roman" w:hAnsi="Times New Roman" w:cs="Times New Roman"/>
          <w:bCs/>
          <w:iCs/>
          <w:sz w:val="20"/>
          <w:szCs w:val="20"/>
        </w:rPr>
        <w:fldChar w:fldCharType="separate"/>
      </w:r>
      <w:r>
        <w:rPr>
          <w:rFonts w:ascii="Times New Roman" w:hAnsi="Times New Roman" w:cs="Times New Roman"/>
          <w:bCs/>
          <w:iCs/>
          <w:sz w:val="20"/>
          <w:szCs w:val="20"/>
        </w:rPr>
        <w:t>[</w:t>
      </w:r>
      <w:r>
        <w:rPr>
          <w:rFonts w:hint="default" w:ascii="Times New Roman" w:hAnsi="Times New Roman" w:cs="Times New Roman"/>
          <w:bCs/>
          <w:iCs/>
          <w:sz w:val="20"/>
          <w:szCs w:val="20"/>
          <w:lang w:val="en-US"/>
        </w:rPr>
        <w:t>3</w:t>
      </w:r>
      <w:r>
        <w:rPr>
          <w:rFonts w:ascii="Times New Roman" w:hAnsi="Times New Roman" w:cs="Times New Roman"/>
          <w:bCs/>
          <w:iCs/>
          <w:sz w:val="20"/>
          <w:szCs w:val="20"/>
        </w:rPr>
        <w:t>]</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default" w:ascii="Times New Roman" w:hAnsi="Times New Roman" w:eastAsia="Batang" w:cs="Times New Roman"/>
                <w:b/>
                <w:bCs/>
                <w:sz w:val="20"/>
                <w:szCs w:val="20"/>
                <w:u w:val="single"/>
                <w:lang w:val="en-US" w:eastAsia="zh-CN"/>
              </w:rPr>
            </w:pPr>
            <w:r>
              <w:rPr>
                <w:rFonts w:hint="default" w:ascii="Times New Roman" w:hAnsi="Times New Roman" w:eastAsia="Batang" w:cs="Times New Roman"/>
                <w:b/>
                <w:bCs/>
                <w:sz w:val="20"/>
                <w:szCs w:val="20"/>
                <w:u w:val="single"/>
                <w:lang w:val="en-US" w:eastAsia="zh-CN"/>
              </w:rPr>
              <w:t>Time pre-compensation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val="en-US" w:eastAsia="zh-CN"/>
              </w:rPr>
              <w:t xml:space="preserve">RAN1#104-e </w:t>
            </w:r>
            <w:r>
              <w:rPr>
                <w:rFonts w:hint="default" w:ascii="Times New Roman" w:hAnsi="Times New Roman" w:cs="Times New Roman"/>
                <w:b/>
                <w:bCs/>
                <w:sz w:val="20"/>
                <w:szCs w:val="20"/>
                <w:highlight w:val="green"/>
                <w:lang w:eastAsia="zh-CN"/>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An NTN UE in RRC_CONNECTED state is required to support UE specific TA calculation based at least on its GNSS-acquired position and the serving satellite ephemeris.</w:t>
            </w: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Operation of closed loop and open loop TA control</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TA update in RRC_CONNECTED state, combination of both open (i.e. UE autonomous TA estimation, and common TA estimation) and closed (i.e., received TA commands) control loops shall be supported for NTN.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Details of the combination of open and closed loop TA control</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val="en-US" w:eastAsia="en-US"/>
              </w:rPr>
              <w:t xml:space="preserve">RAN1#106 b-e </w:t>
            </w:r>
            <w:r>
              <w:rPr>
                <w:rFonts w:hint="default" w:ascii="Times New Roman" w:hAnsi="Times New Roman" w:cs="Times New Roman"/>
                <w:b/>
                <w:bCs/>
                <w:sz w:val="20"/>
                <w:szCs w:val="20"/>
                <w:highlight w:val="green"/>
                <w:lang w:eastAsia="zh-CN"/>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UE assumes that it has lost uplink synchronization if new or additional assistance information (i.e. serving satellite ephemeris data or Common TA parameters) is not available within the associated validity duration.</w:t>
            </w:r>
          </w:p>
          <w:p>
            <w:pPr>
              <w:keepNext w:val="0"/>
              <w:keepLines w:val="0"/>
              <w:pageBreakBefore w:val="0"/>
              <w:numPr>
                <w:ilvl w:val="0"/>
                <w:numId w:val="14"/>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details on how to acquire new or additional assistance information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highlight w:val="green"/>
                <w:lang w:eastAsia="ko-KR"/>
              </w:rPr>
            </w:pPr>
            <w:r>
              <w:rPr>
                <w:rFonts w:hint="default" w:ascii="Times New Roman" w:hAnsi="Times New Roman" w:cs="Times New Roman"/>
                <w:b/>
                <w:bCs/>
                <w:sz w:val="20"/>
                <w:szCs w:val="20"/>
                <w:highlight w:val="green"/>
                <w:lang w:val="en-US" w:eastAsia="ko-KR"/>
              </w:rPr>
              <w:t xml:space="preserve">RAN1#107-e </w:t>
            </w:r>
            <w:r>
              <w:rPr>
                <w:rFonts w:hint="default" w:ascii="Times New Roman" w:hAnsi="Times New Roman" w:cs="Times New Roman"/>
                <w:b/>
                <w:bCs/>
                <w:sz w:val="20"/>
                <w:szCs w:val="20"/>
                <w:highlight w:val="green"/>
                <w:lang w:eastAsia="ko-KR"/>
              </w:rPr>
              <w:t>Agreement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 single validity duration for both serving satellite ephemeris and common TA related parameters is broadcast on the SIB.</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Conclusion</w:t>
            </w:r>
          </w:p>
          <w:p>
            <w:pPr>
              <w:rPr>
                <w:rFonts w:hint="default" w:ascii="Times New Roman" w:hAnsi="Times New Roman" w:cs="Times New Roman"/>
                <w:bCs/>
                <w:sz w:val="20"/>
                <w:szCs w:val="20"/>
                <w:lang w:eastAsia="zh-CN"/>
              </w:rPr>
            </w:pPr>
            <m:oMath>
              <m:sSub>
                <m:sSubPr>
                  <m:ctrlPr>
                    <w:rPr>
                      <w:rFonts w:hint="default" w:ascii="Cambria Math" w:hAnsi="Cambria Math" w:eastAsia="Calibri" w:cs="Times New Roman"/>
                      <w:b/>
                      <w:sz w:val="20"/>
                      <w:szCs w:val="20"/>
                      <w:vertAlign w:val="subscript"/>
                      <w:lang w:eastAsia="ja-JP"/>
                    </w:rPr>
                  </m:ctrlPr>
                </m:sSubPr>
                <m:e>
                  <m:r>
                    <m:rPr>
                      <m:sty m:val="b"/>
                    </m:rPr>
                    <w:rPr>
                      <w:rFonts w:hint="default" w:ascii="Cambria Math" w:hAnsi="Cambria Math" w:cs="Times New Roman"/>
                      <w:sz w:val="20"/>
                      <w:szCs w:val="20"/>
                      <w:vertAlign w:val="subscript"/>
                      <w:lang w:eastAsia="ja-JP"/>
                    </w:rPr>
                    <m:t>N</m:t>
                  </m:r>
                  <m:ctrlPr>
                    <w:rPr>
                      <w:rFonts w:hint="default" w:ascii="Cambria Math" w:hAnsi="Cambria Math" w:eastAsia="Calibri" w:cs="Times New Roman"/>
                      <w:b/>
                      <w:sz w:val="20"/>
                      <w:szCs w:val="20"/>
                      <w:vertAlign w:val="subscript"/>
                      <w:lang w:eastAsia="ja-JP"/>
                    </w:rPr>
                  </m:ctrlPr>
                </m:e>
                <m:sub>
                  <m:r>
                    <m:rPr>
                      <m:sty m:val="b"/>
                    </m:rPr>
                    <w:rPr>
                      <w:rFonts w:hint="default" w:ascii="Cambria Math" w:hAnsi="Cambria Math" w:cs="Times New Roman"/>
                      <w:sz w:val="20"/>
                      <w:szCs w:val="20"/>
                      <w:vertAlign w:val="subscript"/>
                      <w:lang w:eastAsia="ja-JP"/>
                    </w:rPr>
                    <m:t>TA,UE−specific</m:t>
                  </m:r>
                  <m:ctrlPr>
                    <w:rPr>
                      <w:rFonts w:hint="default" w:ascii="Cambria Math" w:hAnsi="Cambria Math" w:eastAsia="Calibri" w:cs="Times New Roman"/>
                      <w:b/>
                      <w:sz w:val="20"/>
                      <w:szCs w:val="20"/>
                      <w:vertAlign w:val="subscript"/>
                      <w:lang w:eastAsia="ja-JP"/>
                    </w:rPr>
                  </m:ctrlPr>
                </m:sub>
              </m:sSub>
              <m:r>
                <m:rPr>
                  <m:sty m:val="b"/>
                </m:rPr>
                <w:rPr>
                  <w:rFonts w:hint="default" w:ascii="Cambria Math" w:hAnsi="Cambria Math" w:cs="Times New Roman"/>
                  <w:sz w:val="20"/>
                  <w:szCs w:val="20"/>
                  <w:lang w:eastAsia="ja-JP"/>
                </w:rPr>
                <m:t> </m:t>
              </m:r>
            </m:oMath>
            <w:r>
              <w:rPr>
                <w:rFonts w:hint="default" w:ascii="Times New Roman" w:hAnsi="Times New Roman" w:cs="Times New Roman"/>
                <w:bCs/>
                <w:sz w:val="20"/>
                <w:szCs w:val="20"/>
                <w:lang w:eastAsia="zh-CN"/>
              </w:rPr>
              <w:t xml:space="preserve">is UE self-estimated TA to pre-compensate for the service link delay, which is calculated using the UE position and the serving satellite ephemeris. </w:t>
            </w:r>
          </w:p>
          <w:p>
            <w:pPr>
              <w:pStyle w:val="112"/>
              <w:keepNext w:val="0"/>
              <w:keepLines w:val="0"/>
              <w:pageBreakBefore w:val="0"/>
              <w:numPr>
                <w:ilvl w:val="0"/>
                <w:numId w:val="15"/>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How the UE calculates/updates </w:t>
            </w:r>
            <w:r>
              <w:rPr>
                <w:rFonts w:hint="default" w:ascii="Times New Roman" w:hAnsi="Times New Roman" w:cs="Times New Roman"/>
                <w:sz w:val="20"/>
                <w:szCs w:val="20"/>
                <w:lang w:eastAsia="ja-JP"/>
              </w:rPr>
              <w:t>N</w:t>
            </w:r>
            <w:r>
              <w:rPr>
                <w:rFonts w:hint="default" w:ascii="Times New Roman" w:hAnsi="Times New Roman" w:cs="Times New Roman"/>
                <w:sz w:val="20"/>
                <w:szCs w:val="20"/>
                <w:vertAlign w:val="subscript"/>
                <w:lang w:eastAsia="ja-JP"/>
              </w:rPr>
              <w:t>TA, UE-specific</w:t>
            </w:r>
            <w:r>
              <w:rPr>
                <w:rFonts w:hint="default" w:ascii="Times New Roman" w:hAnsi="Times New Roman" w:cs="Times New Roman"/>
                <w:sz w:val="20"/>
                <w:szCs w:val="20"/>
                <w:lang w:eastAsia="ja-JP"/>
              </w:rPr>
              <w:t xml:space="preserve"> is left to UE implementation.</w:t>
            </w: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default" w:ascii="Times New Roman" w:hAnsi="Times New Roman" w:eastAsia="Batang" w:cs="Times New Roman"/>
                <w:b/>
                <w:bCs/>
                <w:sz w:val="20"/>
                <w:szCs w:val="20"/>
                <w:u w:val="single"/>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textAlignment w:val="auto"/>
              <w:rPr>
                <w:rFonts w:hint="default" w:ascii="Times New Roman" w:hAnsi="Times New Roman" w:eastAsia="Batang" w:cs="Times New Roman"/>
                <w:b/>
                <w:bCs/>
                <w:sz w:val="20"/>
                <w:szCs w:val="20"/>
                <w:u w:val="single"/>
                <w:lang w:val="en-US" w:eastAsia="zh-CN"/>
              </w:rPr>
            </w:pPr>
            <w:r>
              <w:rPr>
                <w:rFonts w:hint="default" w:ascii="Times New Roman" w:hAnsi="Times New Roman" w:eastAsia="Batang" w:cs="Times New Roman"/>
                <w:b/>
                <w:bCs/>
                <w:sz w:val="20"/>
                <w:szCs w:val="20"/>
                <w:u w:val="single"/>
                <w:lang w:val="en-US" w:eastAsia="zh-CN"/>
              </w:rPr>
              <w:t>Frequency pre-compensation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val="en-US" w:eastAsia="zh-CN"/>
              </w:rPr>
              <w:t xml:space="preserve">RAN1#103-e </w:t>
            </w:r>
            <w:r>
              <w:rPr>
                <w:rFonts w:hint="default" w:ascii="Times New Roman" w:hAnsi="Times New Roman" w:cs="Times New Roman"/>
                <w:b/>
                <w:bCs/>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An NR NTN UE in RRC_IDLE and RRC_INACTIVE states shall be capable of at least using its acquired GNSS position and satellite ephemeris to calculate frequency pre-compensation to counter shift the Doppler experienced on the service link.</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val="en-US" w:eastAsia="zh-CN"/>
              </w:rPr>
              <w:t xml:space="preserve">104-e </w:t>
            </w:r>
            <w:r>
              <w:rPr>
                <w:rFonts w:hint="default" w:ascii="Times New Roman" w:hAnsi="Times New Roman" w:cs="Times New Roman"/>
                <w:sz w:val="20"/>
                <w:szCs w:val="20"/>
                <w:u w:val="single"/>
                <w:lang w:eastAsia="zh-CN"/>
              </w:rPr>
              <w:t>Conclusion: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DL frequency compensation for the service link Doppler is applied, indication of the amount of frequency compensation is necessary.</w:t>
            </w:r>
          </w:p>
          <w:p>
            <w:pPr>
              <w:keepNext w:val="0"/>
              <w:keepLines w:val="0"/>
              <w:pageBreakBefore w:val="0"/>
              <w:numPr>
                <w:ilvl w:val="0"/>
                <w:numId w:val="16"/>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support of DL frequency compensation for the service link Doppler.</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val="en-US" w:eastAsia="en-US"/>
              </w:rPr>
            </w:pPr>
          </w:p>
        </w:tc>
      </w:tr>
    </w:tbl>
    <w:p>
      <w:pPr>
        <w:rPr>
          <w:rFonts w:hint="default" w:ascii="Times New Roman" w:hAnsi="Times New Roman" w:cs="Times New Roman"/>
          <w:sz w:val="20"/>
          <w:szCs w:val="20"/>
          <w:lang w:val="en-US"/>
        </w:rPr>
      </w:pPr>
    </w:p>
    <w:p>
      <w:pPr>
        <w:spacing w:before="120" w:beforeLines="50" w:after="120" w:afterLines="50"/>
        <w:rPr>
          <w:rFonts w:hint="default" w:ascii="Times New Roman" w:hAnsi="Times New Roman" w:cs="Times New Roman"/>
          <w:sz w:val="20"/>
          <w:szCs w:val="20"/>
          <w:highlight w:val="none"/>
          <w:lang w:val="en-US"/>
        </w:rPr>
      </w:pPr>
      <w:r>
        <w:rPr>
          <w:rFonts w:hint="default" w:ascii="Times New Roman" w:hAnsi="Times New Roman" w:cs="Times New Roman"/>
          <w:bCs/>
          <w:iCs/>
          <w:sz w:val="20"/>
          <w:szCs w:val="20"/>
          <w:highlight w:val="none"/>
          <w:lang w:val="en-US"/>
        </w:rPr>
        <w:t>Considering the impact of time and frequency pre-compensation, i</w:t>
      </w:r>
      <w:r>
        <w:rPr>
          <w:rFonts w:hint="eastAsia" w:ascii="Times New Roman" w:hAnsi="Times New Roman" w:cs="Times New Roman"/>
          <w:sz w:val="20"/>
          <w:szCs w:val="20"/>
          <w:highlight w:val="none"/>
          <w:lang w:val="en-US" w:eastAsia="zh-CN"/>
        </w:rPr>
        <w:t xml:space="preserve">t should be regarded as a event which cause power consistency and phase continuity not to be maintained when the UE changes its </w:t>
      </w:r>
      <w:r>
        <w:rPr>
          <w:rFonts w:hint="default" w:ascii="Times New Roman" w:hAnsi="Times New Roman" w:cs="Times New Roman"/>
          <w:sz w:val="20"/>
          <w:szCs w:val="20"/>
          <w:highlight w:val="none"/>
          <w:lang w:val="en-US"/>
        </w:rPr>
        <w:t>time and</w:t>
      </w:r>
      <w:r>
        <w:rPr>
          <w:rFonts w:hint="eastAsia" w:ascii="Times New Roman" w:hAnsi="Times New Roman" w:cs="Times New Roman"/>
          <w:sz w:val="20"/>
          <w:szCs w:val="20"/>
          <w:highlight w:val="none"/>
          <w:lang w:val="en-US" w:eastAsia="zh-CN"/>
        </w:rPr>
        <w:t>/or</w:t>
      </w:r>
      <w:r>
        <w:rPr>
          <w:rFonts w:hint="default" w:ascii="Times New Roman" w:hAnsi="Times New Roman" w:cs="Times New Roman"/>
          <w:sz w:val="20"/>
          <w:szCs w:val="20"/>
          <w:highlight w:val="none"/>
          <w:lang w:val="en-US"/>
        </w:rPr>
        <w:t xml:space="preserve"> frequency pre-compensation</w:t>
      </w:r>
      <w:r>
        <w:rPr>
          <w:rFonts w:hint="eastAsia" w:ascii="Times New Roman" w:hAnsi="Times New Roman" w:cs="Times New Roman"/>
          <w:sz w:val="20"/>
          <w:szCs w:val="20"/>
          <w:highlight w:val="none"/>
          <w:lang w:val="en-US" w:eastAsia="zh-CN"/>
        </w:rPr>
        <w:t xml:space="preserve">. A </w:t>
      </w:r>
      <w:r>
        <w:rPr>
          <w:rFonts w:hint="default" w:ascii="Times New Roman" w:hAnsi="Times New Roman" w:cs="Times New Roman"/>
          <w:bCs/>
          <w:sz w:val="20"/>
          <w:szCs w:val="20"/>
          <w:lang w:eastAsia="zh-CN"/>
        </w:rPr>
        <w:t>UE self-estimated TA to pre-compensate for the service link delay, which is calculated using the UE position and the serving satellite ephemeris</w:t>
      </w:r>
      <w:r>
        <w:rPr>
          <w:rFonts w:hint="eastAsia" w:ascii="Times New Roman" w:hAnsi="Times New Roman" w:cs="Times New Roman"/>
          <w:bCs/>
          <w:sz w:val="20"/>
          <w:szCs w:val="20"/>
          <w:lang w:val="en-US" w:eastAsia="zh-CN"/>
        </w:rPr>
        <w:t>, may be transparent for gNB. In this case</w:t>
      </w:r>
      <w:r>
        <w:rPr>
          <w:rFonts w:hint="default" w:ascii="Times New Roman" w:hAnsi="Times New Roman" w:cs="Times New Roman"/>
          <w:bCs/>
          <w:sz w:val="20"/>
          <w:szCs w:val="20"/>
          <w:lang w:val="en-US" w:eastAsia="zh-CN"/>
        </w:rPr>
        <w:t>,</w:t>
      </w:r>
      <w:bookmarkStart w:id="19" w:name="_GoBack"/>
      <w:bookmarkEnd w:id="19"/>
      <w:r>
        <w:rPr>
          <w:rFonts w:hint="eastAsia" w:ascii="Times New Roman" w:hAnsi="Times New Roman" w:cs="Times New Roman"/>
          <w:bCs/>
          <w:sz w:val="20"/>
          <w:szCs w:val="20"/>
          <w:lang w:val="en-US" w:eastAsia="zh-CN"/>
        </w:rPr>
        <w:t xml:space="preserve"> gNB and UE may have misunderstanding about the a</w:t>
      </w:r>
      <w:r>
        <w:rPr>
          <w:rFonts w:hint="default" w:ascii="Times New Roman" w:hAnsi="Times New Roman" w:cs="Times New Roman"/>
          <w:bCs/>
          <w:sz w:val="20"/>
          <w:szCs w:val="20"/>
          <w:lang w:val="en-US" w:eastAsia="zh-CN"/>
        </w:rPr>
        <w:t xml:space="preserve">ctual </w:t>
      </w:r>
      <w:r>
        <w:rPr>
          <w:rFonts w:hint="eastAsia" w:ascii="Times New Roman" w:hAnsi="Times New Roman" w:cs="Times New Roman"/>
          <w:bCs/>
          <w:sz w:val="20"/>
          <w:szCs w:val="20"/>
          <w:lang w:val="en-US" w:eastAsia="zh-CN"/>
        </w:rPr>
        <w:t xml:space="preserve">TDW. To solve this problem, UE may have the restriction of only change its </w:t>
      </w:r>
      <w:r>
        <w:rPr>
          <w:rFonts w:hint="default" w:ascii="Times New Roman" w:hAnsi="Times New Roman" w:cs="Times New Roman"/>
          <w:bCs/>
          <w:sz w:val="20"/>
          <w:szCs w:val="20"/>
          <w:lang w:eastAsia="zh-CN"/>
        </w:rPr>
        <w:t>self-estimated TA</w:t>
      </w:r>
      <w:r>
        <w:rPr>
          <w:rFonts w:hint="eastAsia" w:ascii="Times New Roman" w:hAnsi="Times New Roman" w:cs="Times New Roman"/>
          <w:bCs/>
          <w:sz w:val="20"/>
          <w:szCs w:val="20"/>
          <w:lang w:val="en-US" w:eastAsia="zh-CN"/>
        </w:rPr>
        <w:t xml:space="preserve"> in between two a</w:t>
      </w:r>
      <w:r>
        <w:rPr>
          <w:rFonts w:hint="default" w:ascii="Times New Roman" w:hAnsi="Times New Roman" w:cs="Times New Roman"/>
          <w:bCs/>
          <w:sz w:val="20"/>
          <w:szCs w:val="20"/>
          <w:lang w:val="en-US" w:eastAsia="zh-CN"/>
        </w:rPr>
        <w:t xml:space="preserve">ctual </w:t>
      </w:r>
      <w:r>
        <w:rPr>
          <w:rFonts w:hint="eastAsia" w:ascii="Times New Roman" w:hAnsi="Times New Roman" w:cs="Times New Roman"/>
          <w:bCs/>
          <w:sz w:val="20"/>
          <w:szCs w:val="20"/>
          <w:lang w:val="en-US" w:eastAsia="zh-CN"/>
        </w:rPr>
        <w:t xml:space="preserve">TDWs. Depending on how frequent UE would perform </w:t>
      </w:r>
      <w:r>
        <w:rPr>
          <w:rFonts w:hint="default" w:ascii="Times New Roman" w:hAnsi="Times New Roman" w:cs="Times New Roman"/>
          <w:bCs/>
          <w:sz w:val="20"/>
          <w:szCs w:val="20"/>
          <w:lang w:eastAsia="zh-CN"/>
        </w:rPr>
        <w:t>self-estimated TA</w:t>
      </w:r>
      <w:r>
        <w:rPr>
          <w:rFonts w:hint="eastAsia"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eastAsia="zh-CN"/>
        </w:rPr>
        <w:t>pre-compensate</w:t>
      </w:r>
      <w:r>
        <w:rPr>
          <w:rFonts w:hint="eastAsia" w:ascii="Times New Roman" w:hAnsi="Times New Roman" w:cs="Times New Roman"/>
          <w:bCs/>
          <w:sz w:val="20"/>
          <w:szCs w:val="20"/>
          <w:lang w:val="en-US" w:eastAsia="zh-CN"/>
        </w:rPr>
        <w:t xml:space="preserve"> adjustment, the priority between the time pre-compensation and DMRS bundling should be discussed. The same issue also apply to the frequency pre-compensation.</w:t>
      </w:r>
    </w:p>
    <w:p>
      <w:pPr>
        <w:rPr>
          <w:rFonts w:hint="default" w:ascii="Times New Roman" w:hAnsi="Times New Roman" w:cs="Times New Roman"/>
          <w:sz w:val="20"/>
          <w:szCs w:val="20"/>
          <w:highlight w:val="yellow"/>
          <w:lang w:val="en-US"/>
        </w:rPr>
      </w:pPr>
    </w:p>
    <w:p>
      <w:pPr>
        <w:rPr>
          <w:rFonts w:hint="eastAsia" w:ascii="Times New Roman" w:hAnsi="Times New Roman" w:cs="Times New Roman" w:eastAsiaTheme="minorEastAsia"/>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3:</w:t>
      </w:r>
      <w:r>
        <w:rPr>
          <w:rFonts w:hint="default" w:ascii="Times New Roman" w:hAnsi="Times New Roman" w:cs="Times New Roman"/>
          <w:b/>
          <w:bCs/>
          <w:sz w:val="20"/>
          <w:szCs w:val="20"/>
          <w:highlight w:val="none"/>
          <w:lang w:val="en-US" w:eastAsia="zh-CN"/>
        </w:rPr>
        <w:t xml:space="preserve"> </w:t>
      </w:r>
      <w:r>
        <w:rPr>
          <w:rFonts w:hint="eastAsia" w:ascii="Times New Roman" w:hAnsi="Times New Roman" w:cs="Times New Roman"/>
          <w:b/>
          <w:bCs/>
          <w:sz w:val="20"/>
          <w:szCs w:val="20"/>
          <w:highlight w:val="none"/>
          <w:lang w:val="en-US" w:eastAsia="zh-CN"/>
        </w:rPr>
        <w:t xml:space="preserve">Study the restriction and influence between DMRS bundling and </w:t>
      </w:r>
      <w:r>
        <w:rPr>
          <w:rFonts w:hint="default" w:ascii="Times New Roman" w:hAnsi="Times New Roman" w:cs="Times New Roman"/>
          <w:b/>
          <w:bCs/>
          <w:sz w:val="20"/>
          <w:szCs w:val="20"/>
          <w:highlight w:val="none"/>
          <w:lang w:val="en-US"/>
        </w:rPr>
        <w:t>time and frequency pre-compensation</w:t>
      </w:r>
      <w:r>
        <w:rPr>
          <w:rFonts w:hint="eastAsia" w:ascii="Times New Roman" w:hAnsi="Times New Roman" w:cs="Times New Roman"/>
          <w:b/>
          <w:bCs/>
          <w:sz w:val="20"/>
          <w:szCs w:val="20"/>
          <w:highlight w:val="none"/>
          <w:lang w:val="en-US" w:eastAsia="zh-CN"/>
        </w:rPr>
        <w:t>.</w:t>
      </w:r>
    </w:p>
    <w:bookmarkEnd w:id="4"/>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r>
        <w:rPr>
          <w:rFonts w:ascii="Times New Roman" w:hAnsi="Times New Roman"/>
          <w:sz w:val="28"/>
          <w:szCs w:val="28"/>
        </w:rPr>
        <w:t>Conclusions</w:t>
      </w:r>
    </w:p>
    <w:p>
      <w:pPr>
        <w:keepNext w:val="0"/>
        <w:keepLines w:val="0"/>
        <w:pageBreakBefore w:val="0"/>
        <w:kinsoku/>
        <w:wordWrap/>
        <w:overflowPunct/>
        <w:topLinePunct w:val="0"/>
        <w:autoSpaceDE/>
        <w:autoSpaceDN/>
        <w:bidi w:val="0"/>
        <w:spacing w:before="0" w:beforeLines="50" w:after="0" w:afterLines="50"/>
        <w:textAlignment w:val="auto"/>
        <w:rPr>
          <w:rFonts w:ascii="Times New Roman" w:hAnsi="Times New Roman" w:cs="Times New Roman"/>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some issues on coverage </w:t>
      </w:r>
      <w:r>
        <w:rPr>
          <w:rFonts w:ascii="Times New Roman" w:hAnsi="Times New Roman" w:cs="Times New Roman"/>
          <w:bCs/>
          <w:iCs/>
          <w:sz w:val="20"/>
          <w:szCs w:val="20"/>
        </w:rPr>
        <w:t xml:space="preserve">enhancement </w:t>
      </w:r>
      <w:r>
        <w:rPr>
          <w:rFonts w:hint="default" w:ascii="Times New Roman" w:hAnsi="Times New Roman" w:cs="Times New Roman"/>
          <w:bCs/>
          <w:iCs/>
          <w:sz w:val="20"/>
          <w:szCs w:val="20"/>
          <w:lang w:val="en-US"/>
        </w:rPr>
        <w:t>to NTN scenario</w:t>
      </w:r>
      <w:r>
        <w:rPr>
          <w:rFonts w:ascii="Times New Roman" w:hAnsi="Times New Roman" w:cs="Times New Roman"/>
          <w:bCs/>
          <w:iCs/>
          <w:sz w:val="20"/>
          <w:szCs w:val="20"/>
        </w:rPr>
        <w:t>s</w:t>
      </w:r>
      <w:r>
        <w:rPr>
          <w:rFonts w:ascii="Times New Roman" w:hAnsi="Times New Roman" w:cs="Times New Roman"/>
          <w:sz w:val="20"/>
          <w:szCs w:val="20"/>
          <w:lang w:val="en-GB"/>
        </w:rPr>
        <w:t>. The observations and proposals are summarized as follows:</w:t>
      </w:r>
    </w:p>
    <w:p>
      <w:pPr>
        <w:keepNext w:val="0"/>
        <w:keepLines w:val="0"/>
        <w:pageBreakBefore w:val="0"/>
        <w:kinsoku/>
        <w:wordWrap/>
        <w:overflowPunct/>
        <w:topLinePunct w:val="0"/>
        <w:autoSpaceDE/>
        <w:autoSpaceDN/>
        <w:bidi w:val="0"/>
        <w:adjustRightInd w:val="0"/>
        <w:snapToGrid w:val="0"/>
        <w:spacing w:before="0" w:beforeLines="50" w:after="0" w:afterLines="50"/>
        <w:textAlignment w:val="auto"/>
        <w:rPr>
          <w:rFonts w:hint="eastAsia" w:ascii="Times New Roman" w:hAnsi="Times New Roman" w:eastAsia="宋体" w:cs="Times New Roman"/>
          <w:b/>
          <w:bCs w:val="0"/>
          <w:i w:val="0"/>
          <w:iCs w:val="0"/>
          <w:kern w:val="0"/>
          <w:sz w:val="20"/>
          <w:szCs w:val="20"/>
          <w:highlight w:val="none"/>
          <w:lang w:val="en-US" w:eastAsia="zh-CN"/>
        </w:rPr>
      </w:pPr>
      <w:r>
        <w:rPr>
          <w:rFonts w:hint="eastAsia" w:ascii="Times New Roman" w:hAnsi="Times New Roman" w:eastAsia="宋体" w:cs="Times New Roman"/>
          <w:b/>
          <w:bCs w:val="0"/>
          <w:i w:val="0"/>
          <w:iCs w:val="0"/>
          <w:kern w:val="0"/>
          <w:sz w:val="20"/>
          <w:szCs w:val="20"/>
          <w:highlight w:val="none"/>
          <w:lang w:val="en-US" w:eastAsia="zh-CN"/>
        </w:rPr>
        <w:t>Proposal 1:</w:t>
      </w:r>
      <w:r>
        <w:rPr>
          <w:rFonts w:hint="default" w:ascii="Times New Roman" w:hAnsi="Times New Roman" w:eastAsia="宋体" w:cs="Times New Roman"/>
          <w:b/>
          <w:bCs w:val="0"/>
          <w:i w:val="0"/>
          <w:iCs w:val="0"/>
          <w:kern w:val="0"/>
          <w:sz w:val="20"/>
          <w:szCs w:val="20"/>
          <w:highlight w:val="none"/>
          <w:lang w:val="en-US" w:eastAsia="zh-CN"/>
        </w:rPr>
        <w:t xml:space="preserve"> </w:t>
      </w:r>
      <w:r>
        <w:rPr>
          <w:rFonts w:hint="eastAsia" w:ascii="Times New Roman" w:hAnsi="Times New Roman" w:eastAsia="宋体" w:cs="Times New Roman"/>
          <w:b/>
          <w:bCs w:val="0"/>
          <w:i w:val="0"/>
          <w:iCs w:val="0"/>
          <w:kern w:val="0"/>
          <w:sz w:val="20"/>
          <w:szCs w:val="20"/>
          <w:highlight w:val="none"/>
          <w:lang w:val="en-US" w:eastAsia="zh-CN"/>
        </w:rPr>
        <w:t>Enabling PUCCH repetitions</w:t>
      </w:r>
      <w:r>
        <w:rPr>
          <w:rFonts w:hint="default" w:ascii="Times New Roman" w:hAnsi="Times New Roman" w:eastAsia="宋体" w:cs="Times New Roman"/>
          <w:b/>
          <w:bCs w:val="0"/>
          <w:i w:val="0"/>
          <w:iCs w:val="0"/>
          <w:kern w:val="0"/>
          <w:sz w:val="20"/>
          <w:szCs w:val="20"/>
          <w:highlight w:val="none"/>
          <w:lang w:val="en-US" w:eastAsia="zh-CN"/>
        </w:rPr>
        <w:t xml:space="preserve"> can be supported in NTN</w:t>
      </w:r>
      <w:r>
        <w:rPr>
          <w:rFonts w:hint="eastAsia" w:ascii="Times New Roman" w:hAnsi="Times New Roman" w:eastAsia="宋体" w:cs="Times New Roman"/>
          <w:b/>
          <w:bCs w:val="0"/>
          <w:i w:val="0"/>
          <w:iCs w:val="0"/>
          <w:kern w:val="0"/>
          <w:sz w:val="20"/>
          <w:szCs w:val="20"/>
          <w:highlight w:val="none"/>
          <w:lang w:val="en-US" w:eastAsia="zh-CN"/>
        </w:rPr>
        <w:t>, two options can be discussed.</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textAlignment w:val="auto"/>
        <w:rPr>
          <w:rFonts w:hint="default" w:ascii="Times New Roman" w:hAnsi="Times New Roman" w:eastAsia="MS Mincho" w:cs="Times New Roman"/>
          <w:b/>
          <w:bCs/>
          <w:i w:val="0"/>
          <w:iCs w:val="0"/>
          <w:kern w:val="0"/>
          <w:sz w:val="20"/>
          <w:szCs w:val="20"/>
          <w:u w:val="none"/>
          <w:lang w:val="en-US" w:eastAsia="en-US"/>
        </w:rPr>
      </w:pPr>
      <w:r>
        <w:rPr>
          <w:rFonts w:hint="default" w:ascii="Times New Roman" w:hAnsi="Times New Roman" w:eastAsia="MS Mincho" w:cs="Times New Roman"/>
          <w:b/>
          <w:bCs/>
          <w:i w:val="0"/>
          <w:iCs w:val="0"/>
          <w:kern w:val="0"/>
          <w:sz w:val="20"/>
          <w:szCs w:val="20"/>
          <w:u w:val="none"/>
          <w:lang w:val="en-US" w:eastAsia="en-US"/>
        </w:rPr>
        <w:t>Option 1: Reuse mechanism for Msg3 repetition.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textAlignment w:val="auto"/>
        <w:rPr>
          <w:rFonts w:hint="default" w:ascii="Times New Roman" w:hAnsi="Times New Roman" w:eastAsia="MS Mincho" w:cs="Times New Roman"/>
          <w:b/>
          <w:bCs/>
          <w:kern w:val="0"/>
          <w:sz w:val="20"/>
          <w:szCs w:val="20"/>
          <w:u w:val="none"/>
          <w:lang w:val="en-US" w:eastAsia="en-US"/>
        </w:rPr>
      </w:pPr>
      <w:r>
        <w:rPr>
          <w:rFonts w:hint="default" w:ascii="Times New Roman" w:hAnsi="Times New Roman" w:eastAsia="MS Mincho" w:cs="Times New Roman"/>
          <w:b/>
          <w:bCs/>
          <w:i w:val="0"/>
          <w:iCs w:val="0"/>
          <w:kern w:val="0"/>
          <w:sz w:val="20"/>
          <w:szCs w:val="20"/>
          <w:u w:val="none"/>
          <w:lang w:val="en-US" w:eastAsia="en-US"/>
        </w:rPr>
        <w:t>Option 2: A joint indication for both Msg3 and Msg4 HARQ-ACK repetitions.</w:t>
      </w:r>
    </w:p>
    <w:p>
      <w:pPr>
        <w:keepNext w:val="0"/>
        <w:keepLines w:val="0"/>
        <w:pageBreakBefore w:val="0"/>
        <w:kinsoku/>
        <w:wordWrap/>
        <w:overflowPunct/>
        <w:topLinePunct w:val="0"/>
        <w:autoSpaceDE/>
        <w:autoSpaceDN/>
        <w:bidi w:val="0"/>
        <w:adjustRightInd w:val="0"/>
        <w:snapToGrid w:val="0"/>
        <w:spacing w:before="0" w:beforeLines="50" w:after="0" w:afterLines="50"/>
        <w:textAlignment w:val="auto"/>
        <w:rPr>
          <w:rFonts w:hint="eastAsia" w:ascii="Times New Roman" w:hAnsi="Times New Roman" w:cs="Times New Roman" w:eastAsiaTheme="minorEastAsia"/>
          <w:b/>
          <w:bCs w:val="0"/>
          <w:iCs/>
          <w:sz w:val="20"/>
          <w:szCs w:val="20"/>
          <w:highlight w:val="none"/>
          <w:lang w:val="en-US" w:eastAsia="zh-CN"/>
        </w:rPr>
      </w:pPr>
      <w:r>
        <w:rPr>
          <w:rFonts w:hint="eastAsia" w:ascii="Times New Roman" w:hAnsi="Times New Roman" w:cs="Times New Roman"/>
          <w:b/>
          <w:bCs w:val="0"/>
          <w:iCs/>
          <w:sz w:val="20"/>
          <w:szCs w:val="20"/>
          <w:highlight w:val="none"/>
          <w:lang w:val="en-US" w:eastAsia="zh-CN"/>
        </w:rPr>
        <w:t>Proposal 2:</w:t>
      </w:r>
      <w:r>
        <w:rPr>
          <w:rFonts w:hint="default" w:ascii="Times New Roman" w:hAnsi="Times New Roman" w:cs="Times New Roman"/>
          <w:b/>
          <w:bCs w:val="0"/>
          <w:iCs/>
          <w:sz w:val="20"/>
          <w:szCs w:val="20"/>
          <w:highlight w:val="none"/>
          <w:lang w:val="en-US" w:eastAsia="zh-CN"/>
        </w:rPr>
        <w:t xml:space="preserve"> </w:t>
      </w:r>
      <w:r>
        <w:rPr>
          <w:rFonts w:hint="eastAsia" w:ascii="Times New Roman" w:hAnsi="Times New Roman" w:cs="Times New Roman"/>
          <w:b/>
          <w:bCs w:val="0"/>
          <w:iCs/>
          <w:sz w:val="20"/>
          <w:szCs w:val="20"/>
          <w:highlight w:val="none"/>
          <w:lang w:val="en-US" w:eastAsia="zh-CN"/>
        </w:rPr>
        <w:t xml:space="preserve">Study whether DMRS bundling can be used in NTN </w:t>
      </w:r>
      <w:r>
        <w:rPr>
          <w:rFonts w:hint="default" w:ascii="Times New Roman" w:hAnsi="Times New Roman" w:cs="Times New Roman"/>
          <w:b/>
          <w:bCs w:val="0"/>
          <w:iCs/>
          <w:sz w:val="20"/>
          <w:szCs w:val="20"/>
          <w:lang w:val="en-US"/>
        </w:rPr>
        <w:t>fast time-variant channel</w:t>
      </w:r>
      <w:r>
        <w:rPr>
          <w:rFonts w:hint="eastAsia" w:ascii="Times New Roman" w:hAnsi="Times New Roman" w:cs="Times New Roman"/>
          <w:b/>
          <w:bCs w:val="0"/>
          <w:iCs/>
          <w:sz w:val="20"/>
          <w:szCs w:val="20"/>
          <w:lang w:val="en-US" w:eastAsia="zh-CN"/>
        </w:rPr>
        <w:t>.</w:t>
      </w:r>
    </w:p>
    <w:p>
      <w:pPr>
        <w:keepNext w:val="0"/>
        <w:keepLines w:val="0"/>
        <w:pageBreakBefore w:val="0"/>
        <w:kinsoku/>
        <w:wordWrap/>
        <w:overflowPunct/>
        <w:topLinePunct w:val="0"/>
        <w:autoSpaceDE/>
        <w:autoSpaceDN/>
        <w:bidi w:val="0"/>
        <w:spacing w:before="0" w:beforeLines="50" w:after="0" w:afterLines="50"/>
        <w:textAlignment w:val="auto"/>
        <w:rPr>
          <w:rFonts w:hint="eastAsia" w:ascii="Times New Roman" w:hAnsi="Times New Roman" w:cs="Times New Roman" w:eastAsiaTheme="minorEastAsia"/>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3:</w:t>
      </w:r>
      <w:r>
        <w:rPr>
          <w:rFonts w:hint="default" w:ascii="Times New Roman" w:hAnsi="Times New Roman" w:cs="Times New Roman"/>
          <w:b/>
          <w:bCs/>
          <w:sz w:val="20"/>
          <w:szCs w:val="20"/>
          <w:highlight w:val="none"/>
          <w:lang w:val="en-US" w:eastAsia="zh-CN"/>
        </w:rPr>
        <w:t xml:space="preserve"> </w:t>
      </w:r>
      <w:r>
        <w:rPr>
          <w:rFonts w:hint="eastAsia" w:ascii="Times New Roman" w:hAnsi="Times New Roman" w:cs="Times New Roman"/>
          <w:b/>
          <w:bCs/>
          <w:sz w:val="20"/>
          <w:szCs w:val="20"/>
          <w:highlight w:val="none"/>
          <w:lang w:val="en-US" w:eastAsia="zh-CN"/>
        </w:rPr>
        <w:t xml:space="preserve">Study the restriction and influence between DMRS bundling and </w:t>
      </w:r>
      <w:r>
        <w:rPr>
          <w:rFonts w:hint="default" w:ascii="Times New Roman" w:hAnsi="Times New Roman" w:cs="Times New Roman"/>
          <w:b/>
          <w:bCs/>
          <w:sz w:val="20"/>
          <w:szCs w:val="20"/>
          <w:highlight w:val="none"/>
          <w:lang w:val="en-US"/>
        </w:rPr>
        <w:t>time and frequency pre-compensation</w:t>
      </w:r>
      <w:r>
        <w:rPr>
          <w:rFonts w:hint="eastAsia" w:ascii="Times New Roman" w:hAnsi="Times New Roman" w:cs="Times New Roman"/>
          <w:b/>
          <w:bCs/>
          <w:sz w:val="20"/>
          <w:szCs w:val="20"/>
          <w:highlight w:val="none"/>
          <w:lang w:val="en-US" w:eastAsia="zh-CN"/>
        </w:rPr>
        <w:t>.</w:t>
      </w:r>
    </w:p>
    <w:p>
      <w:pPr>
        <w:keepNext w:val="0"/>
        <w:keepLines w:val="0"/>
        <w:pageBreakBefore w:val="0"/>
        <w:kinsoku/>
        <w:wordWrap/>
        <w:overflowPunct/>
        <w:topLinePunct w:val="0"/>
        <w:autoSpaceDE/>
        <w:autoSpaceDN/>
        <w:bidi w:val="0"/>
        <w:spacing w:before="0" w:beforeLines="50" w:after="0" w:afterLines="50"/>
        <w:textAlignment w:val="auto"/>
        <w:rPr>
          <w:rFonts w:hint="default" w:ascii="Times New Roman" w:hAnsi="Times New Roman" w:cs="Times New Roman"/>
          <w:b/>
          <w:bCs w:val="0"/>
          <w:iCs/>
          <w:sz w:val="20"/>
          <w:szCs w:val="20"/>
          <w:lang w:val="en-US"/>
        </w:rPr>
      </w:pPr>
    </w:p>
    <w:p>
      <w:pPr>
        <w:spacing w:before="120" w:beforeLines="50" w:after="120" w:afterLines="50"/>
        <w:rPr>
          <w:rFonts w:hint="default" w:ascii="Times New Roman" w:hAnsi="Times New Roman" w:cs="Times New Roman"/>
          <w:b/>
          <w:bCs w:val="0"/>
          <w:iCs/>
          <w:sz w:val="20"/>
          <w:szCs w:val="20"/>
          <w:lang w:val="en-US"/>
        </w:rPr>
      </w:pP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r>
        <w:rPr>
          <w:rFonts w:ascii="Times New Roman" w:hAnsi="Times New Roman"/>
          <w:sz w:val="28"/>
          <w:szCs w:val="28"/>
        </w:rPr>
        <w:t>References</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5" w:name="_Ref60817485"/>
      <w:bookmarkStart w:id="6" w:name="_Ref53491160"/>
      <w:bookmarkStart w:id="7" w:name="_Ref53511278"/>
      <w:bookmarkStart w:id="8" w:name="_Ref521313643"/>
      <w:bookmarkStart w:id="9" w:name="_Ref78875676"/>
      <w:bookmarkStart w:id="10" w:name="_Ref86784880"/>
      <w:bookmarkStart w:id="11" w:name="_Ref30757894"/>
      <w:bookmarkStart w:id="12" w:name="_Ref505807368"/>
      <w:bookmarkStart w:id="13" w:name="_Ref521162878"/>
      <w:bookmarkStart w:id="14" w:name="_Ref83712416"/>
      <w:bookmarkStart w:id="15" w:name="_Ref71203205"/>
      <w:bookmarkStart w:id="16" w:name="_Ref23496549"/>
      <w:bookmarkStart w:id="17" w:name="_Ref533782101"/>
      <w:bookmarkStart w:id="18" w:name="_Ref505867252"/>
      <w:r>
        <w:rPr>
          <w:rFonts w:hint="eastAsia" w:cs="Times New Roman"/>
          <w:sz w:val="20"/>
          <w:szCs w:val="20"/>
        </w:rPr>
        <w:t>RP-2</w:t>
      </w:r>
      <w:r>
        <w:rPr>
          <w:rFonts w:hint="default" w:cs="Times New Roman"/>
          <w:sz w:val="20"/>
          <w:szCs w:val="20"/>
          <w:lang w:val="en-US"/>
        </w:rPr>
        <w:t>22654</w:t>
      </w:r>
      <w:r>
        <w:rPr>
          <w:rFonts w:hint="eastAsia" w:cs="Times New Roman"/>
          <w:sz w:val="20"/>
          <w:szCs w:val="20"/>
        </w:rPr>
        <w:t>, Revised WID:</w:t>
      </w:r>
      <w:r>
        <w:rPr>
          <w:rFonts w:hint="default" w:cs="Times New Roman"/>
          <w:sz w:val="20"/>
          <w:szCs w:val="20"/>
          <w:lang w:val="en-US"/>
        </w:rPr>
        <w:t xml:space="preserve"> </w:t>
      </w:r>
      <w:r>
        <w:rPr>
          <w:rFonts w:hint="eastAsia" w:cs="Times New Roman"/>
          <w:sz w:val="20"/>
          <w:szCs w:val="20"/>
        </w:rPr>
        <w:t>NR NTN (Non-Terrestrial Networks) enhancements, RAN#</w:t>
      </w:r>
      <w:r>
        <w:rPr>
          <w:rFonts w:hint="default" w:cs="Times New Roman"/>
          <w:sz w:val="20"/>
          <w:szCs w:val="20"/>
          <w:lang w:val="en-US"/>
        </w:rPr>
        <w:t>97.</w:t>
      </w:r>
      <w:r>
        <w:rPr>
          <w:rFonts w:hint="eastAsia" w:cs="Times New Roman"/>
          <w:sz w:val="20"/>
          <w:szCs w:val="20"/>
        </w:rPr>
        <w:t xml:space="preserve"> </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R1-2</w:t>
      </w:r>
      <w:r>
        <w:rPr>
          <w:rFonts w:hint="default" w:cs="Times New Roman"/>
          <w:sz w:val="20"/>
          <w:szCs w:val="20"/>
          <w:lang w:val="en-US"/>
        </w:rPr>
        <w:t>208269</w:t>
      </w:r>
      <w:r>
        <w:rPr>
          <w:rFonts w:hint="eastAsia" w:cs="Times New Roman"/>
          <w:sz w:val="20"/>
          <w:szCs w:val="20"/>
        </w:rPr>
        <w:t>, Summary #6 on 9.12.1 Coverage enhancement for NR NTN, August 22</w:t>
      </w:r>
      <w:r>
        <w:rPr>
          <w:rFonts w:hint="default" w:cs="Times New Roman"/>
          <w:sz w:val="20"/>
          <w:szCs w:val="20"/>
          <w:lang w:val="en-US"/>
        </w:rPr>
        <w:t>nd</w:t>
      </w:r>
      <w:r>
        <w:rPr>
          <w:rFonts w:hint="default" w:cs="Times New Roman"/>
          <w:sz w:val="20"/>
          <w:szCs w:val="20"/>
          <w:vertAlign w:val="superscript"/>
          <w:lang w:val="en-US"/>
        </w:rPr>
        <w:t xml:space="preserve"> </w:t>
      </w:r>
      <w:r>
        <w:rPr>
          <w:rFonts w:hint="default" w:cs="Times New Roman"/>
          <w:sz w:val="20"/>
          <w:szCs w:val="20"/>
          <w:lang w:val="en-US"/>
        </w:rPr>
        <w:t>-</w:t>
      </w:r>
      <w:r>
        <w:rPr>
          <w:rFonts w:hint="eastAsia" w:cs="Times New Roman"/>
          <w:sz w:val="20"/>
          <w:szCs w:val="20"/>
        </w:rPr>
        <w:t>26th, 2022.</w:t>
      </w:r>
    </w:p>
    <w:p>
      <w:pPr>
        <w:pStyle w:val="112"/>
        <w:keepLines w:val="0"/>
        <w:pageBreakBefore w:val="0"/>
        <w:numPr>
          <w:ilvl w:val="0"/>
          <w:numId w:val="17"/>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R1-2202910, “3GPP TSG-RAN WG1 Agreements under 8.4 up to eMeeting RAN1#108-e”, February 21th - March 3rd, 2022.</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4B4A0931"/>
    <w:multiLevelType w:val="multilevel"/>
    <w:tmpl w:val="4B4A09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BC6C7F"/>
    <w:multiLevelType w:val="multilevel"/>
    <w:tmpl w:val="4DBC6C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EFC5941"/>
    <w:multiLevelType w:val="singleLevel"/>
    <w:tmpl w:val="5EFC5941"/>
    <w:lvl w:ilvl="0" w:tentative="0">
      <w:start w:val="1"/>
      <w:numFmt w:val="bullet"/>
      <w:lvlText w:val="○"/>
      <w:lvlJc w:val="left"/>
      <w:pPr>
        <w:ind w:left="420" w:leftChars="0" w:hanging="420" w:firstLineChars="0"/>
      </w:pPr>
      <w:rPr>
        <w:rFonts w:hint="default" w:ascii="微软雅黑" w:hAnsi="微软雅黑" w:eastAsia="微软雅黑" w:cs="Segoe Print"/>
      </w:rPr>
    </w:lvl>
  </w:abstractNum>
  <w:abstractNum w:abstractNumId="14">
    <w:nsid w:val="5FF45471"/>
    <w:multiLevelType w:val="multilevel"/>
    <w:tmpl w:val="5FF454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6">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2"/>
  </w:num>
  <w:num w:numId="3">
    <w:abstractNumId w:val="1"/>
  </w:num>
  <w:num w:numId="4">
    <w:abstractNumId w:val="6"/>
  </w:num>
  <w:num w:numId="5">
    <w:abstractNumId w:val="15"/>
  </w:num>
  <w:num w:numId="6">
    <w:abstractNumId w:val="16"/>
  </w:num>
  <w:num w:numId="7">
    <w:abstractNumId w:val="7"/>
    <w:lvlOverride w:ilvl="0">
      <w:startOverride w:val="1"/>
    </w:lvlOverride>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13"/>
  </w:num>
  <w:num w:numId="13">
    <w:abstractNumId w:val="3"/>
  </w:num>
  <w:num w:numId="14">
    <w:abstractNumId w:val="9"/>
  </w:num>
  <w:num w:numId="15">
    <w:abstractNumId w:val="14"/>
  </w:num>
  <w:num w:numId="16">
    <w:abstractNumId w:val="1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6CD3AE3"/>
    <w:rsid w:val="078428D6"/>
    <w:rsid w:val="09310529"/>
    <w:rsid w:val="0A6A531A"/>
    <w:rsid w:val="0ED427EC"/>
    <w:rsid w:val="12976D2A"/>
    <w:rsid w:val="1320158C"/>
    <w:rsid w:val="166A456C"/>
    <w:rsid w:val="18D46101"/>
    <w:rsid w:val="1CC87E89"/>
    <w:rsid w:val="1D663B0E"/>
    <w:rsid w:val="2A520582"/>
    <w:rsid w:val="353C0870"/>
    <w:rsid w:val="37A45E5B"/>
    <w:rsid w:val="3F095E9D"/>
    <w:rsid w:val="41CA3534"/>
    <w:rsid w:val="4431391D"/>
    <w:rsid w:val="4CF82E4F"/>
    <w:rsid w:val="522F417F"/>
    <w:rsid w:val="53D8539B"/>
    <w:rsid w:val="587B2CB1"/>
    <w:rsid w:val="5BE43781"/>
    <w:rsid w:val="5C0F220F"/>
    <w:rsid w:val="5EB95666"/>
    <w:rsid w:val="62665E83"/>
    <w:rsid w:val="6760517B"/>
    <w:rsid w:val="68FA6D78"/>
    <w:rsid w:val="6CEA5C83"/>
    <w:rsid w:val="70F61E69"/>
    <w:rsid w:val="71CF50AA"/>
    <w:rsid w:val="72A33F0D"/>
    <w:rsid w:val="7469583A"/>
    <w:rsid w:val="7B252B0C"/>
    <w:rsid w:val="7C0F23D9"/>
    <w:rsid w:val="7E054D42"/>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1200</Words>
  <Characters>6841</Characters>
  <Lines>57</Lines>
  <Paragraphs>16</Paragraphs>
  <TotalTime>238</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2022-09-30T06:53:14Z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